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030" w:type="dxa"/>
        <w:tblCellSpacing w:w="0" w:type="dxa"/>
        <w:tblCellMar>
          <w:left w:w="0" w:type="dxa"/>
          <w:right w:w="0" w:type="dxa"/>
        </w:tblCellMar>
        <w:tblLook w:val="04A0"/>
      </w:tblPr>
      <w:tblGrid>
        <w:gridCol w:w="540"/>
        <w:gridCol w:w="7935"/>
        <w:gridCol w:w="555"/>
      </w:tblGrid>
      <w:tr w:rsidR="003E7BF0" w:rsidTr="003E7BF0">
        <w:trPr>
          <w:trHeight w:val="1095"/>
          <w:tblCellSpacing w:w="0" w:type="dxa"/>
        </w:trPr>
        <w:tc>
          <w:tcPr>
            <w:tcW w:w="540" w:type="dxa"/>
            <w:vAlign w:val="center"/>
            <w:hideMark/>
          </w:tcPr>
          <w:p w:rsidR="003E7BF0" w:rsidRDefault="003E7BF0">
            <w:pPr>
              <w:rPr>
                <w:rFonts w:ascii="Times New Roman" w:eastAsia="Times New Roman" w:hAnsi="Times New Roman"/>
                <w:sz w:val="20"/>
                <w:szCs w:val="20"/>
              </w:rPr>
            </w:pPr>
          </w:p>
        </w:tc>
        <w:tc>
          <w:tcPr>
            <w:tcW w:w="7935" w:type="dxa"/>
            <w:hideMark/>
          </w:tcPr>
          <w:tbl>
            <w:tblPr>
              <w:tblW w:w="6615" w:type="dxa"/>
              <w:jc w:val="center"/>
              <w:tblCellMar>
                <w:left w:w="0" w:type="dxa"/>
                <w:right w:w="0" w:type="dxa"/>
              </w:tblCellMar>
              <w:tblLook w:val="04A0"/>
            </w:tblPr>
            <w:tblGrid>
              <w:gridCol w:w="3510"/>
              <w:gridCol w:w="3105"/>
            </w:tblGrid>
            <w:tr w:rsidR="003E7BF0">
              <w:trPr>
                <w:trHeight w:val="1095"/>
                <w:jc w:val="center"/>
              </w:trPr>
              <w:tc>
                <w:tcPr>
                  <w:tcW w:w="3510" w:type="dxa"/>
                  <w:vAlign w:val="center"/>
                  <w:hideMark/>
                </w:tcPr>
                <w:p w:rsidR="003E7BF0" w:rsidRDefault="003E7BF0">
                  <w:pPr>
                    <w:pStyle w:val="NormalWeb"/>
                    <w:jc w:val="center"/>
                  </w:pPr>
                  <w:r>
                    <w:rPr>
                      <w:noProof/>
                      <w:color w:val="0000FF"/>
                    </w:rPr>
                    <w:drawing>
                      <wp:inline distT="0" distB="0" distL="0" distR="0">
                        <wp:extent cx="1245235" cy="378460"/>
                        <wp:effectExtent l="19050" t="0" r="0" b="0"/>
                        <wp:docPr id="1" name="Picture 1" descr="cid:image015.jpg@01CE9F39.F545D5F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15.jpg@01CE9F39.F545D5F0"/>
                                <pic:cNvPicPr>
                                  <a:picLocks noChangeAspect="1" noChangeArrowheads="1"/>
                                </pic:cNvPicPr>
                              </pic:nvPicPr>
                              <pic:blipFill>
                                <a:blip r:embed="rId6" r:link="rId7" cstate="print"/>
                                <a:srcRect/>
                                <a:stretch>
                                  <a:fillRect/>
                                </a:stretch>
                              </pic:blipFill>
                              <pic:spPr bwMode="auto">
                                <a:xfrm>
                                  <a:off x="0" y="0"/>
                                  <a:ext cx="1245235" cy="378460"/>
                                </a:xfrm>
                                <a:prstGeom prst="rect">
                                  <a:avLst/>
                                </a:prstGeom>
                                <a:noFill/>
                                <a:ln w="9525">
                                  <a:noFill/>
                                  <a:miter lim="800000"/>
                                  <a:headEnd/>
                                  <a:tailEnd/>
                                </a:ln>
                              </pic:spPr>
                            </pic:pic>
                          </a:graphicData>
                        </a:graphic>
                      </wp:inline>
                    </w:drawing>
                  </w:r>
                </w:p>
              </w:tc>
              <w:tc>
                <w:tcPr>
                  <w:tcW w:w="3105" w:type="dxa"/>
                  <w:vAlign w:val="center"/>
                  <w:hideMark/>
                </w:tcPr>
                <w:p w:rsidR="003E7BF0" w:rsidRDefault="003E7BF0">
                  <w:pPr>
                    <w:pStyle w:val="NormalWeb"/>
                    <w:jc w:val="center"/>
                  </w:pPr>
                  <w:r>
                    <w:rPr>
                      <w:noProof/>
                      <w:color w:val="0000FF"/>
                    </w:rPr>
                    <w:drawing>
                      <wp:inline distT="0" distB="0" distL="0" distR="0">
                        <wp:extent cx="1529080" cy="457200"/>
                        <wp:effectExtent l="19050" t="0" r="0" b="0"/>
                        <wp:docPr id="2" name="Picture 2" descr="cid:image016.jpg@01CE9F39.F545D5F0">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16.jpg@01CE9F39.F545D5F0"/>
                                <pic:cNvPicPr>
                                  <a:picLocks noChangeAspect="1" noChangeArrowheads="1"/>
                                </pic:cNvPicPr>
                              </pic:nvPicPr>
                              <pic:blipFill>
                                <a:blip r:embed="rId9" r:link="rId10" cstate="print"/>
                                <a:srcRect/>
                                <a:stretch>
                                  <a:fillRect/>
                                </a:stretch>
                              </pic:blipFill>
                              <pic:spPr bwMode="auto">
                                <a:xfrm>
                                  <a:off x="0" y="0"/>
                                  <a:ext cx="1529080" cy="457200"/>
                                </a:xfrm>
                                <a:prstGeom prst="rect">
                                  <a:avLst/>
                                </a:prstGeom>
                                <a:noFill/>
                                <a:ln w="9525">
                                  <a:noFill/>
                                  <a:miter lim="800000"/>
                                  <a:headEnd/>
                                  <a:tailEnd/>
                                </a:ln>
                              </pic:spPr>
                            </pic:pic>
                          </a:graphicData>
                        </a:graphic>
                      </wp:inline>
                    </w:drawing>
                  </w:r>
                </w:p>
              </w:tc>
            </w:tr>
          </w:tbl>
          <w:p w:rsidR="003E7BF0" w:rsidRDefault="003E7BF0">
            <w:pPr>
              <w:jc w:val="center"/>
              <w:rPr>
                <w:rFonts w:ascii="Times New Roman" w:eastAsia="Times New Roman" w:hAnsi="Times New Roman"/>
                <w:sz w:val="20"/>
                <w:szCs w:val="20"/>
              </w:rPr>
            </w:pPr>
          </w:p>
        </w:tc>
        <w:tc>
          <w:tcPr>
            <w:tcW w:w="555" w:type="dxa"/>
            <w:vAlign w:val="center"/>
            <w:hideMark/>
          </w:tcPr>
          <w:p w:rsidR="003E7BF0" w:rsidRDefault="003E7BF0">
            <w:pPr>
              <w:rPr>
                <w:rFonts w:ascii="Times New Roman" w:eastAsia="Times New Roman" w:hAnsi="Times New Roman"/>
                <w:sz w:val="20"/>
                <w:szCs w:val="20"/>
              </w:rPr>
            </w:pPr>
          </w:p>
        </w:tc>
      </w:tr>
    </w:tbl>
    <w:p w:rsidR="003E7BF0" w:rsidRDefault="003E7BF0" w:rsidP="003E7BF0">
      <w:r>
        <w:t> </w:t>
      </w:r>
    </w:p>
    <w:tbl>
      <w:tblPr>
        <w:tblW w:w="0" w:type="auto"/>
        <w:tblCellSpacing w:w="0" w:type="dxa"/>
        <w:tblCellMar>
          <w:left w:w="0" w:type="dxa"/>
          <w:right w:w="0" w:type="dxa"/>
        </w:tblCellMar>
        <w:tblLook w:val="04A0"/>
      </w:tblPr>
      <w:tblGrid>
        <w:gridCol w:w="8520"/>
      </w:tblGrid>
      <w:tr w:rsidR="003E7BF0" w:rsidTr="003E7BF0">
        <w:trPr>
          <w:tblCellSpacing w:w="0" w:type="dxa"/>
        </w:trPr>
        <w:tc>
          <w:tcPr>
            <w:tcW w:w="0" w:type="auto"/>
            <w:hideMark/>
          </w:tcPr>
          <w:p w:rsidR="003E7BF0" w:rsidRDefault="003E7BF0">
            <w:r>
              <w:rPr>
                <w:noProof/>
                <w:color w:val="0000FF"/>
              </w:rPr>
              <w:drawing>
                <wp:inline distT="0" distB="0" distL="0" distR="0">
                  <wp:extent cx="5386319" cy="4690753"/>
                  <wp:effectExtent l="19050" t="0" r="4831" b="0"/>
                  <wp:docPr id="3" name="Picture 3" descr="cid:image017.jpg@01CE9F39.F545D5F0">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17.jpg@01CE9F39.F545D5F0"/>
                          <pic:cNvPicPr>
                            <a:picLocks noChangeAspect="1" noChangeArrowheads="1"/>
                          </pic:cNvPicPr>
                        </pic:nvPicPr>
                        <pic:blipFill>
                          <a:blip r:embed="rId11" r:link="rId12" cstate="print"/>
                          <a:srcRect/>
                          <a:stretch>
                            <a:fillRect/>
                          </a:stretch>
                        </pic:blipFill>
                        <pic:spPr bwMode="auto">
                          <a:xfrm>
                            <a:off x="0" y="0"/>
                            <a:ext cx="5399850" cy="4702536"/>
                          </a:xfrm>
                          <a:prstGeom prst="rect">
                            <a:avLst/>
                          </a:prstGeom>
                          <a:noFill/>
                          <a:ln w="9525">
                            <a:noFill/>
                            <a:miter lim="800000"/>
                            <a:headEnd/>
                            <a:tailEnd/>
                          </a:ln>
                        </pic:spPr>
                      </pic:pic>
                    </a:graphicData>
                  </a:graphic>
                </wp:inline>
              </w:drawing>
            </w:r>
          </w:p>
        </w:tc>
      </w:tr>
    </w:tbl>
    <w:p w:rsidR="003E7BF0" w:rsidRDefault="003E7BF0" w:rsidP="003E7BF0">
      <w:r>
        <w:t> </w:t>
      </w:r>
    </w:p>
    <w:tbl>
      <w:tblPr>
        <w:tblW w:w="0" w:type="auto"/>
        <w:tblCellSpacing w:w="0" w:type="dxa"/>
        <w:tblLayout w:type="fixed"/>
        <w:tblCellMar>
          <w:left w:w="0" w:type="dxa"/>
          <w:right w:w="0" w:type="dxa"/>
        </w:tblCellMar>
        <w:tblLook w:val="04A0"/>
      </w:tblPr>
      <w:tblGrid>
        <w:gridCol w:w="12390"/>
      </w:tblGrid>
      <w:tr w:rsidR="003E7BF0" w:rsidTr="002F2530">
        <w:trPr>
          <w:trHeight w:val="12630"/>
          <w:tblCellSpacing w:w="0" w:type="dxa"/>
        </w:trPr>
        <w:tc>
          <w:tcPr>
            <w:tcW w:w="12390" w:type="dxa"/>
            <w:hideMark/>
          </w:tcPr>
          <w:tbl>
            <w:tblPr>
              <w:tblW w:w="9015" w:type="dxa"/>
              <w:tblCellSpacing w:w="0" w:type="dxa"/>
              <w:tblLayout w:type="fixed"/>
              <w:tblCellMar>
                <w:left w:w="0" w:type="dxa"/>
                <w:right w:w="0" w:type="dxa"/>
              </w:tblCellMar>
              <w:tblLook w:val="04A0"/>
            </w:tblPr>
            <w:tblGrid>
              <w:gridCol w:w="630"/>
              <w:gridCol w:w="7862"/>
              <w:gridCol w:w="523"/>
            </w:tblGrid>
            <w:tr w:rsidR="003E7BF0" w:rsidTr="002F2530">
              <w:trPr>
                <w:trHeight w:val="7425"/>
                <w:tblCellSpacing w:w="0" w:type="dxa"/>
              </w:trPr>
              <w:tc>
                <w:tcPr>
                  <w:tcW w:w="630" w:type="dxa"/>
                  <w:vAlign w:val="center"/>
                  <w:hideMark/>
                </w:tcPr>
                <w:p w:rsidR="003E7BF0" w:rsidRPr="00AD0D0F" w:rsidRDefault="003E7BF0">
                  <w:pPr>
                    <w:rPr>
                      <w:rFonts w:cs="Arial"/>
                    </w:rPr>
                  </w:pPr>
                  <w:r w:rsidRPr="00AD0D0F">
                    <w:rPr>
                      <w:rFonts w:cs="Arial"/>
                      <w:noProof/>
                    </w:rPr>
                    <w:lastRenderedPageBreak/>
                    <w:drawing>
                      <wp:inline distT="0" distB="0" distL="0" distR="0">
                        <wp:extent cx="78740" cy="78740"/>
                        <wp:effectExtent l="19050" t="0" r="0" b="0"/>
                        <wp:docPr id="4" name="Picture 4" descr="spac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pacer"/>
                                <pic:cNvPicPr>
                                  <a:picLocks noChangeAspect="1" noChangeArrowheads="1"/>
                                </pic:cNvPicPr>
                              </pic:nvPicPr>
                              <pic:blipFill>
                                <a:blip r:embed="rId13" r:link="rId14" cstate="print"/>
                                <a:srcRect/>
                                <a:stretch>
                                  <a:fillRect/>
                                </a:stretch>
                              </pic:blipFill>
                              <pic:spPr bwMode="auto">
                                <a:xfrm>
                                  <a:off x="0" y="0"/>
                                  <a:ext cx="78740" cy="78740"/>
                                </a:xfrm>
                                <a:prstGeom prst="rect">
                                  <a:avLst/>
                                </a:prstGeom>
                                <a:noFill/>
                                <a:ln w="9525">
                                  <a:noFill/>
                                  <a:miter lim="800000"/>
                                  <a:headEnd/>
                                  <a:tailEnd/>
                                </a:ln>
                              </pic:spPr>
                            </pic:pic>
                          </a:graphicData>
                        </a:graphic>
                      </wp:inline>
                    </w:drawing>
                  </w:r>
                </w:p>
              </w:tc>
              <w:tc>
                <w:tcPr>
                  <w:tcW w:w="7862" w:type="dxa"/>
                  <w:tcMar>
                    <w:top w:w="180" w:type="dxa"/>
                    <w:left w:w="0" w:type="dxa"/>
                    <w:bottom w:w="0" w:type="dxa"/>
                    <w:right w:w="0" w:type="dxa"/>
                  </w:tcMar>
                  <w:hideMark/>
                </w:tcPr>
                <w:p w:rsidR="003E7BF0" w:rsidRPr="00AD0D0F" w:rsidRDefault="003E7BF0">
                  <w:pPr>
                    <w:pStyle w:val="Heading4"/>
                    <w:spacing w:line="270" w:lineRule="atLeast"/>
                    <w:rPr>
                      <w:rFonts w:ascii="Arial" w:eastAsia="Times New Roman" w:hAnsi="Arial" w:cs="Arial"/>
                    </w:rPr>
                  </w:pPr>
                  <w:r w:rsidRPr="00AD0D0F">
                    <w:rPr>
                      <w:rFonts w:ascii="Arial" w:eastAsia="Times New Roman" w:hAnsi="Arial" w:cs="Arial"/>
                    </w:rPr>
                    <w:br/>
                  </w:r>
                  <w:r w:rsidR="00091117">
                    <w:rPr>
                      <w:rFonts w:ascii="Arial" w:eastAsia="Times New Roman" w:hAnsi="Arial" w:cs="Arial"/>
                      <w:color w:val="00386B"/>
                    </w:rPr>
                    <w:t>This edition of our e-blast will share some exciting opportunities to grow and develop your system-building work</w:t>
                  </w:r>
                  <w:r w:rsidRPr="00AD0D0F">
                    <w:rPr>
                      <w:rFonts w:ascii="Arial" w:eastAsia="Times New Roman" w:hAnsi="Arial" w:cs="Arial"/>
                      <w:color w:val="00386B"/>
                    </w:rPr>
                    <w:t>.</w:t>
                  </w:r>
                </w:p>
                <w:p w:rsidR="003E7BF0" w:rsidRPr="00AD0D0F" w:rsidRDefault="003E7BF0">
                  <w:pPr>
                    <w:pStyle w:val="Heading3"/>
                    <w:spacing w:line="270" w:lineRule="atLeast"/>
                    <w:rPr>
                      <w:rFonts w:ascii="Arial" w:eastAsia="Times New Roman" w:hAnsi="Arial" w:cs="Arial"/>
                    </w:rPr>
                  </w:pPr>
                  <w:r w:rsidRPr="00AD0D0F">
                    <w:rPr>
                      <w:rFonts w:ascii="Arial" w:eastAsia="Times New Roman" w:hAnsi="Arial" w:cs="Arial"/>
                      <w:color w:val="51B5E0"/>
                    </w:rPr>
                    <w:t>Events and News of Interest</w:t>
                  </w:r>
                </w:p>
                <w:p w:rsidR="00301735" w:rsidRDefault="00301735" w:rsidP="00301735">
                  <w:pPr>
                    <w:jc w:val="center"/>
                    <w:rPr>
                      <w:b/>
                    </w:rPr>
                  </w:pPr>
                  <w:r>
                    <w:rPr>
                      <w:b/>
                    </w:rPr>
                    <w:t>CBASS WEBINAR SERIES on October 28</w:t>
                  </w:r>
                  <w:r w:rsidRPr="00301735">
                    <w:rPr>
                      <w:b/>
                      <w:vertAlign w:val="superscript"/>
                    </w:rPr>
                    <w:t>th</w:t>
                  </w:r>
                  <w:r>
                    <w:rPr>
                      <w:b/>
                    </w:rPr>
                    <w:t xml:space="preserve"> and November 19</w:t>
                  </w:r>
                  <w:r w:rsidRPr="00301735">
                    <w:rPr>
                      <w:b/>
                      <w:vertAlign w:val="superscript"/>
                    </w:rPr>
                    <w:t>th</w:t>
                  </w:r>
                </w:p>
                <w:p w:rsidR="00301735" w:rsidRPr="006B18B8" w:rsidRDefault="009A13B6" w:rsidP="00301735">
                  <w:pPr>
                    <w:rPr>
                      <w:color w:val="1F497D"/>
                    </w:rPr>
                  </w:pPr>
                  <w:hyperlink r:id="rId15" w:history="1">
                    <w:r w:rsidR="00301735" w:rsidRPr="00301735">
                      <w:rPr>
                        <w:rStyle w:val="Hyperlink"/>
                        <w:b/>
                      </w:rPr>
                      <w:t>Steal This Message: Explaining the Value of Expanded Learning Systems and Intermediaries</w:t>
                    </w:r>
                  </w:hyperlink>
                  <w:r w:rsidR="00301735" w:rsidRPr="00301735">
                    <w:rPr>
                      <w:b/>
                    </w:rPr>
                    <w:t>.</w:t>
                  </w:r>
                  <w:r w:rsidR="00301735">
                    <w:t xml:space="preserve"> </w:t>
                  </w:r>
                  <w:r w:rsidR="00301735" w:rsidRPr="00301735">
                    <w:t xml:space="preserve">Have you ever sat down with your schools superintendent or local funder and struggled to describe exactly what an “after-school system” is? We have, too. </w:t>
                  </w:r>
                  <w:r w:rsidR="006B18B8">
                    <w:t xml:space="preserve">But luckily, the Collaborative for Building After-School Systems (CBASS) has been </w:t>
                  </w:r>
                  <w:proofErr w:type="gramStart"/>
                  <w:r w:rsidR="006B18B8">
                    <w:t>working  with</w:t>
                  </w:r>
                  <w:proofErr w:type="gramEnd"/>
                  <w:r w:rsidR="006B18B8">
                    <w:t xml:space="preserve"> a communications consultant to develop clear, effective messaging that defines and explains the value of expanded-learning systems and intermediaries.</w:t>
                  </w:r>
                  <w:r w:rsidR="00301735" w:rsidRPr="00301735">
                    <w:t xml:space="preserve"> Drawing from the expertise of our national coalition partners and over a dozen stakeholders from the policy, expanded learning, funding, and school leadership fields, we developed a messaging guide to help systems and intermediaries better make the case for their work to diverse audiences. Join CBASS</w:t>
                  </w:r>
                  <w:r w:rsidR="00301735">
                    <w:t xml:space="preserve"> </w:t>
                  </w:r>
                  <w:r w:rsidR="00301735">
                    <w:rPr>
                      <w:b/>
                    </w:rPr>
                    <w:t xml:space="preserve">on </w:t>
                  </w:r>
                  <w:r w:rsidR="00301735" w:rsidRPr="00301735">
                    <w:rPr>
                      <w:b/>
                      <w:u w:val="single"/>
                    </w:rPr>
                    <w:t>Monday, October 28</w:t>
                  </w:r>
                  <w:r w:rsidR="00301735" w:rsidRPr="00301735">
                    <w:rPr>
                      <w:b/>
                      <w:u w:val="single"/>
                      <w:vertAlign w:val="superscript"/>
                    </w:rPr>
                    <w:t>th</w:t>
                  </w:r>
                  <w:r w:rsidR="00301735" w:rsidRPr="00301735">
                    <w:rPr>
                      <w:b/>
                      <w:u w:val="single"/>
                    </w:rPr>
                    <w:t xml:space="preserve"> from 3-4pm ET</w:t>
                  </w:r>
                  <w:r w:rsidR="00301735">
                    <w:rPr>
                      <w:b/>
                    </w:rPr>
                    <w:t xml:space="preserve"> </w:t>
                  </w:r>
                  <w:r w:rsidR="00301735">
                    <w:t>for a</w:t>
                  </w:r>
                  <w:r w:rsidR="00301735" w:rsidRPr="00301735">
                    <w:t xml:space="preserve"> webinar to hear what we discovered through stakeholder interviews and field-testing, and learn how you can use these messages. </w:t>
                  </w:r>
                  <w:r w:rsidR="00301735">
                    <w:t xml:space="preserve">Speakers include </w:t>
                  </w:r>
                  <w:r w:rsidR="00301735" w:rsidRPr="00301735">
                    <w:t xml:space="preserve">Susan Brenna, Chief Communications Officer, </w:t>
                  </w:r>
                  <w:proofErr w:type="spellStart"/>
                  <w:proofErr w:type="gramStart"/>
                  <w:r w:rsidR="00301735" w:rsidRPr="00301735">
                    <w:t>ExpandED</w:t>
                  </w:r>
                  <w:proofErr w:type="spellEnd"/>
                  <w:proofErr w:type="gramEnd"/>
                  <w:r w:rsidR="00301735" w:rsidRPr="00301735">
                    <w:t xml:space="preserve"> Schools by TASC</w:t>
                  </w:r>
                  <w:r w:rsidR="00301735">
                    <w:t xml:space="preserve">; </w:t>
                  </w:r>
                  <w:r w:rsidR="00301735" w:rsidRPr="00301735">
                    <w:t>Jessica Donner, Director, Collaborative for Building After-School Systems</w:t>
                  </w:r>
                  <w:bookmarkStart w:id="0" w:name="_GoBack"/>
                  <w:bookmarkEnd w:id="0"/>
                  <w:r w:rsidR="00301735">
                    <w:t xml:space="preserve">; </w:t>
                  </w:r>
                  <w:r w:rsidR="00301735" w:rsidRPr="00301735">
                    <w:t xml:space="preserve">Kara </w:t>
                  </w:r>
                  <w:proofErr w:type="spellStart"/>
                  <w:r w:rsidR="00301735" w:rsidRPr="00301735">
                    <w:t>Marchione</w:t>
                  </w:r>
                  <w:proofErr w:type="spellEnd"/>
                  <w:r w:rsidR="00301735" w:rsidRPr="00301735">
                    <w:t>, Vice President, Penn Hill Group</w:t>
                  </w:r>
                  <w:r w:rsidR="00301735">
                    <w:t xml:space="preserve">; and </w:t>
                  </w:r>
                  <w:r w:rsidR="00301735" w:rsidRPr="00301735">
                    <w:t xml:space="preserve">Andrea </w:t>
                  </w:r>
                  <w:proofErr w:type="spellStart"/>
                  <w:r w:rsidR="00301735" w:rsidRPr="00301735">
                    <w:t>Sussman</w:t>
                  </w:r>
                  <w:proofErr w:type="spellEnd"/>
                  <w:r w:rsidR="00301735" w:rsidRPr="00301735">
                    <w:t>, Vice President, KSA Plus Communications</w:t>
                  </w:r>
                  <w:r w:rsidR="00301735">
                    <w:t xml:space="preserve">. </w:t>
                  </w:r>
                  <w:r w:rsidR="00301735" w:rsidRPr="00301735">
                    <w:t>To Register:</w:t>
                  </w:r>
                  <w:r w:rsidR="00301735">
                    <w:t xml:space="preserve"> </w:t>
                  </w:r>
                  <w:hyperlink r:id="rId16" w:history="1">
                    <w:r w:rsidR="00301735" w:rsidRPr="00301735">
                      <w:rPr>
                        <w:rStyle w:val="Hyperlink"/>
                      </w:rPr>
                      <w:t>https://expandedschools.webex.com/expandedschools/onstage/g.php?t=a&amp;d=666581277</w:t>
                    </w:r>
                  </w:hyperlink>
                  <w:r w:rsidR="00301735" w:rsidRPr="00301735">
                    <w:t xml:space="preserve"> </w:t>
                  </w:r>
                </w:p>
                <w:p w:rsidR="00301735" w:rsidRPr="00301735" w:rsidRDefault="009A13B6" w:rsidP="00AD0D0F">
                  <w:hyperlink r:id="rId17" w:history="1">
                    <w:r w:rsidR="00301735" w:rsidRPr="00301735">
                      <w:rPr>
                        <w:rStyle w:val="Hyperlink"/>
                        <w:b/>
                      </w:rPr>
                      <w:t>Coordinate This: Afterschool Across Cities</w:t>
                    </w:r>
                  </w:hyperlink>
                  <w:r w:rsidR="00301735">
                    <w:rPr>
                      <w:b/>
                    </w:rPr>
                    <w:t xml:space="preserve">. </w:t>
                  </w:r>
                  <w:r w:rsidR="00301735" w:rsidRPr="00301735">
                    <w:t>A growing number of cities are making use of coordinated after-school systems to support and increase access to high-quality programs. But to what extent are these cities adopting the key components of coordination? And how does the commitment of a mayor or major funder affect the quality of their work?</w:t>
                  </w:r>
                  <w:r w:rsidR="00301735">
                    <w:rPr>
                      <w:b/>
                    </w:rPr>
                    <w:t xml:space="preserve"> </w:t>
                  </w:r>
                  <w:r w:rsidR="00301735" w:rsidRPr="00301735">
                    <w:t>A recent study by FHI 360 and The Wallace Foundation offers some answers. Join the Collaborative for Building After-School Systems, in partnership with The Wallace Foundation and National League of Cities Institute for Youth, Education and Families, for a discussion</w:t>
                  </w:r>
                  <w:r w:rsidR="00301735">
                    <w:t xml:space="preserve"> </w:t>
                  </w:r>
                  <w:r w:rsidR="00301735">
                    <w:rPr>
                      <w:b/>
                      <w:u w:val="single"/>
                    </w:rPr>
                    <w:t>on Tuesday, November 19</w:t>
                  </w:r>
                  <w:r w:rsidR="00301735" w:rsidRPr="00301735">
                    <w:rPr>
                      <w:b/>
                      <w:u w:val="single"/>
                      <w:vertAlign w:val="superscript"/>
                    </w:rPr>
                    <w:t>th</w:t>
                  </w:r>
                  <w:r w:rsidR="00301735">
                    <w:rPr>
                      <w:b/>
                      <w:u w:val="single"/>
                    </w:rPr>
                    <w:t xml:space="preserve"> from 2-3pm ET</w:t>
                  </w:r>
                  <w:r w:rsidR="00301735" w:rsidRPr="00301735">
                    <w:t xml:space="preserve"> of the report findings and what they mean for systems builders. You’ll hear what mayoral support has meant for coordination of after-school in Nashville; how Boston focused energy and investments to build public-private partnerships; and what the role of local foundations is in supporting system infrastructure. </w:t>
                  </w:r>
                  <w:r w:rsidR="00301735">
                    <w:t xml:space="preserve"> </w:t>
                  </w:r>
                  <w:r w:rsidR="00301735" w:rsidRPr="00301735">
                    <w:t>Speakers</w:t>
                  </w:r>
                  <w:r w:rsidR="00301735">
                    <w:t xml:space="preserve"> include </w:t>
                  </w:r>
                  <w:r w:rsidR="00301735" w:rsidRPr="00301735">
                    <w:t>Jessica Donner, Director, Collaborative for Building After-School Systems</w:t>
                  </w:r>
                  <w:r w:rsidR="00301735">
                    <w:t xml:space="preserve">; </w:t>
                  </w:r>
                  <w:r w:rsidR="00301735" w:rsidRPr="00301735">
                    <w:t>Candy Markman, Director, Mayor’s Aft</w:t>
                  </w:r>
                  <w:r w:rsidR="00301735">
                    <w:t xml:space="preserve">erschool Initiatives, Nashville; </w:t>
                  </w:r>
                  <w:r w:rsidR="00301735" w:rsidRPr="00301735">
                    <w:t>Nina Sonenberg, Communications Officer, The Wallace Foundation</w:t>
                  </w:r>
                  <w:r w:rsidR="00301735">
                    <w:t xml:space="preserve">; and </w:t>
                  </w:r>
                  <w:r w:rsidR="00301735" w:rsidRPr="00301735">
                    <w:t xml:space="preserve">Chris Smith, Executive Director, Boston After School &amp; </w:t>
                  </w:r>
                  <w:proofErr w:type="gramStart"/>
                  <w:r w:rsidR="00301735" w:rsidRPr="00301735">
                    <w:t xml:space="preserve">Beyond </w:t>
                  </w:r>
                  <w:r w:rsidR="00301735">
                    <w:t>.</w:t>
                  </w:r>
                  <w:proofErr w:type="gramEnd"/>
                  <w:r w:rsidR="00301735">
                    <w:t xml:space="preserve"> </w:t>
                  </w:r>
                  <w:r w:rsidR="00301735" w:rsidRPr="00301735">
                    <w:t>Additional speakers to be confirmed.</w:t>
                  </w:r>
                  <w:r w:rsidR="00301735">
                    <w:t xml:space="preserve"> </w:t>
                  </w:r>
                  <w:r w:rsidR="00301735" w:rsidRPr="00301735">
                    <w:t>To Register:</w:t>
                  </w:r>
                  <w:r w:rsidR="00301735">
                    <w:t xml:space="preserve"> </w:t>
                  </w:r>
                  <w:hyperlink r:id="rId18" w:history="1">
                    <w:r w:rsidR="00301735" w:rsidRPr="00301735">
                      <w:rPr>
                        <w:rStyle w:val="Hyperlink"/>
                      </w:rPr>
                      <w:t>https://expandedschools.webex.com/expandedschools/onstage/g.php?t=a&amp;d=664503066</w:t>
                    </w:r>
                  </w:hyperlink>
                </w:p>
                <w:p w:rsidR="00FA05D5" w:rsidRPr="00FA05D5" w:rsidRDefault="00FA05D5" w:rsidP="00AD0D0F">
                  <w:pPr>
                    <w:rPr>
                      <w:bCs/>
                    </w:rPr>
                  </w:pPr>
                  <w:hyperlink r:id="rId19" w:history="1">
                    <w:r w:rsidRPr="002F2530">
                      <w:rPr>
                        <w:rStyle w:val="Hyperlink"/>
                        <w:b/>
                        <w:bCs/>
                      </w:rPr>
                      <w:t>MetLife Foundation Afterschool Innovator Award</w:t>
                    </w:r>
                  </w:hyperlink>
                  <w:r>
                    <w:rPr>
                      <w:b/>
                      <w:bCs/>
                    </w:rPr>
                    <w:t xml:space="preserve">. </w:t>
                  </w:r>
                  <w:r>
                    <w:rPr>
                      <w:bCs/>
                    </w:rPr>
                    <w:t>There is still time to n</w:t>
                  </w:r>
                  <w:r w:rsidRPr="002F2530">
                    <w:rPr>
                      <w:bCs/>
                    </w:rPr>
                    <w:t>ominate a program</w:t>
                  </w:r>
                  <w:r w:rsidRPr="002F2530">
                    <w:rPr>
                      <w:b/>
                      <w:bCs/>
                    </w:rPr>
                    <w:t> </w:t>
                  </w:r>
                  <w:r w:rsidRPr="002F2530">
                    <w:rPr>
                      <w:bCs/>
                    </w:rPr>
                    <w:t xml:space="preserve">by </w:t>
                  </w:r>
                  <w:r w:rsidRPr="00FA05D5">
                    <w:rPr>
                      <w:b/>
                      <w:bCs/>
                      <w:u w:val="single"/>
                    </w:rPr>
                    <w:t>Oct. 14, 2013</w:t>
                  </w:r>
                  <w:r w:rsidRPr="002F2530">
                    <w:rPr>
                      <w:bCs/>
                    </w:rPr>
                    <w:t xml:space="preserve">, for their chance to win $10,000, receive media recognition as an Afterschool </w:t>
                  </w:r>
                  <w:r w:rsidRPr="002F2530">
                    <w:rPr>
                      <w:bCs/>
                    </w:rPr>
                    <w:lastRenderedPageBreak/>
                    <w:t xml:space="preserve">Innovator, present at national conferences, and be featured in our 2013-2014 series of issue briefs and our Afterschool in Action Compendium. </w:t>
                  </w:r>
                  <w:r>
                    <w:rPr>
                      <w:bCs/>
                    </w:rPr>
                    <w:t xml:space="preserve">Categories include 1) </w:t>
                  </w:r>
                  <w:r w:rsidRPr="002F2530">
                    <w:rPr>
                      <w:bCs/>
                    </w:rPr>
                    <w:t>Keeping Kids Safe and Supported in the Hours After School</w:t>
                  </w:r>
                  <w:r>
                    <w:rPr>
                      <w:bCs/>
                    </w:rPr>
                    <w:t xml:space="preserve">; 2) </w:t>
                  </w:r>
                  <w:r w:rsidRPr="002F2530">
                    <w:rPr>
                      <w:bCs/>
                    </w:rPr>
                    <w:t>The Role of Afterschool and the Common Core State Standards</w:t>
                  </w:r>
                  <w:r>
                    <w:rPr>
                      <w:bCs/>
                    </w:rPr>
                    <w:t xml:space="preserve">; 3) </w:t>
                  </w:r>
                  <w:r w:rsidRPr="002F2530">
                    <w:rPr>
                      <w:bCs/>
                    </w:rPr>
                    <w:t>Students with Disabilities and Othe</w:t>
                  </w:r>
                  <w:r>
                    <w:rPr>
                      <w:bCs/>
                    </w:rPr>
                    <w:t xml:space="preserve">r Special Needs and Afterschool; and 4) </w:t>
                  </w:r>
                  <w:r w:rsidRPr="002F2530">
                    <w:rPr>
                      <w:bCs/>
                    </w:rPr>
                    <w:t>Why Data Matters: How Afterschool Programs Use Data to Improve Programming</w:t>
                  </w:r>
                  <w:r>
                    <w:rPr>
                      <w:bCs/>
                    </w:rPr>
                    <w:t>.</w:t>
                  </w:r>
                </w:p>
                <w:p w:rsidR="003E7BF0" w:rsidRPr="00AD0D0F" w:rsidRDefault="009A13B6" w:rsidP="00AD0D0F">
                  <w:hyperlink r:id="rId20" w:history="1">
                    <w:r w:rsidR="003E7BF0" w:rsidRPr="00AD0D0F">
                      <w:rPr>
                        <w:rStyle w:val="Strong"/>
                        <w:rFonts w:cs="Arial"/>
                        <w:color w:val="0000FF"/>
                        <w:szCs w:val="18"/>
                        <w:u w:val="single"/>
                      </w:rPr>
                      <w:t>NLC 2013 Summit on Your City’s Families</w:t>
                    </w:r>
                  </w:hyperlink>
                  <w:r w:rsidR="003E7BF0" w:rsidRPr="00AD0D0F">
                    <w:t xml:space="preserve">.  City leaders can register now for the nation’s largest gathering of municipal leaders working to improve the lives of children, youth and families in their communities.  Sponsored by the National League of Cities Institute for Youth, Education and Families on a biennial basis, the Summit will take place </w:t>
                  </w:r>
                  <w:r w:rsidR="003E7BF0" w:rsidRPr="00301735">
                    <w:rPr>
                      <w:b/>
                      <w:u w:val="single"/>
                    </w:rPr>
                    <w:t>November 12-14, 2013, in Seattle, Washington</w:t>
                  </w:r>
                  <w:r w:rsidR="003E7BF0" w:rsidRPr="00AD0D0F">
                    <w:t xml:space="preserve">.  A peer networking session on afterschool will be held at the summit and will highlight many afterschool system building efforts. Hundreds of mayors, city </w:t>
                  </w:r>
                  <w:proofErr w:type="spellStart"/>
                  <w:r w:rsidR="003E7BF0" w:rsidRPr="00AD0D0F">
                    <w:t>councilmembers</w:t>
                  </w:r>
                  <w:proofErr w:type="spellEnd"/>
                  <w:r w:rsidR="003E7BF0" w:rsidRPr="00AD0D0F">
                    <w:t xml:space="preserve">, senior municipal staff, and school and community partners will gather in Seattle to take advantage of a unique mix of learning, training and networking opportunities.  This year, a redesigned and highly interactive Summit will immediately precede NLC’s Congress of Cities and Exposition, giving local leaders the option of participating in both events.  For additional details and registration, please visit </w:t>
                  </w:r>
                  <w:hyperlink r:id="rId21" w:history="1">
                    <w:r w:rsidR="003E7BF0" w:rsidRPr="00AD0D0F">
                      <w:rPr>
                        <w:rStyle w:val="Hyperlink"/>
                        <w:rFonts w:cs="Arial"/>
                        <w:szCs w:val="18"/>
                      </w:rPr>
                      <w:t>www.nlc.org/2013Summit</w:t>
                    </w:r>
                  </w:hyperlink>
                  <w:r w:rsidR="003E7BF0" w:rsidRPr="00AD0D0F">
                    <w:t>.</w:t>
                  </w:r>
                </w:p>
                <w:p w:rsidR="003E7BF0" w:rsidRDefault="009A13B6" w:rsidP="00AD0D0F">
                  <w:hyperlink r:id="rId22" w:history="1">
                    <w:r w:rsidR="003E7BF0" w:rsidRPr="00AD0D0F">
                      <w:rPr>
                        <w:rStyle w:val="Strong"/>
                        <w:rFonts w:cs="Arial"/>
                        <w:color w:val="0000FF"/>
                        <w:szCs w:val="18"/>
                        <w:u w:val="single"/>
                      </w:rPr>
                      <w:t>NSLA Annual Conference</w:t>
                    </w:r>
                  </w:hyperlink>
                  <w:r w:rsidR="003E7BF0" w:rsidRPr="00AD0D0F">
                    <w:t>. The National Summer Learning Association’s 10th annual conference</w:t>
                  </w:r>
                  <w:r w:rsidR="00301735">
                    <w:rPr>
                      <w:b/>
                      <w:u w:val="single"/>
                    </w:rPr>
                    <w:t xml:space="preserve"> on November 11-13, 2013 in Orlando, FL</w:t>
                  </w:r>
                  <w:r w:rsidR="003E7BF0" w:rsidRPr="00AD0D0F">
                    <w:t>, </w:t>
                  </w:r>
                  <w:r w:rsidR="003E7BF0" w:rsidRPr="00AD0D0F">
                    <w:rPr>
                      <w:rStyle w:val="Strong"/>
                      <w:rFonts w:cs="Arial"/>
                      <w:szCs w:val="18"/>
                    </w:rPr>
                    <w:t>"Advancing Outcomes for Youth: Demonstrating Your Value in a Data-Driven Age,”</w:t>
                  </w:r>
                  <w:r w:rsidR="003E7BF0" w:rsidRPr="00AD0D0F">
                    <w:t xml:space="preserve"> encourages presenters and participants to explore the best ways to collect data, track progress, and make the case for summer learning to funders, policymakers, and the public. </w:t>
                  </w:r>
                  <w:r w:rsidR="008C426E" w:rsidRPr="008C426E">
                    <w:t xml:space="preserve">The </w:t>
                  </w:r>
                  <w:hyperlink r:id="rId23" w:history="1">
                    <w:r w:rsidR="008C426E" w:rsidRPr="008C426E">
                      <w:rPr>
                        <w:rStyle w:val="Hyperlink"/>
                        <w:i/>
                        <w:iCs/>
                      </w:rPr>
                      <w:t>Power Session,</w:t>
                    </w:r>
                  </w:hyperlink>
                  <w:r w:rsidR="008C426E" w:rsidRPr="008C426E">
                    <w:t xml:space="preserve"> “</w:t>
                  </w:r>
                  <w:r w:rsidR="008C426E" w:rsidRPr="008C426E">
                    <w:rPr>
                      <w:b/>
                      <w:bCs/>
                    </w:rPr>
                    <w:t>7 Steps to a Terrific Summer Learning Program</w:t>
                  </w:r>
                  <w:r w:rsidR="008C426E" w:rsidRPr="008C426E">
                    <w:t>,” will feature lessons from RAND’s latest research and a perspective from a district in Wallace’s five-year demonstration project.</w:t>
                  </w:r>
                  <w:r w:rsidR="008C426E" w:rsidRPr="008C426E">
                    <w:rPr>
                      <w:i/>
                      <w:iCs/>
                    </w:rPr>
                    <w:t xml:space="preserve"> </w:t>
                  </w:r>
                  <w:r w:rsidR="008C426E" w:rsidRPr="008C426E">
                    <w:t> </w:t>
                  </w:r>
                  <w:r w:rsidR="003E7BF0" w:rsidRPr="00AD0D0F">
                    <w:t xml:space="preserve">For additional details and registration, please visit </w:t>
                  </w:r>
                  <w:hyperlink r:id="rId24" w:history="1">
                    <w:r w:rsidR="003E7BF0" w:rsidRPr="00AD0D0F">
                      <w:rPr>
                        <w:rStyle w:val="Hyperlink"/>
                        <w:rFonts w:cs="Arial"/>
                        <w:szCs w:val="18"/>
                      </w:rPr>
                      <w:t>the National Conference on Summer Learning registration page</w:t>
                    </w:r>
                  </w:hyperlink>
                  <w:r w:rsidR="003E7BF0" w:rsidRPr="00AD0D0F">
                    <w:t>. </w:t>
                  </w:r>
                </w:p>
                <w:p w:rsidR="00493B96" w:rsidRDefault="009A13B6" w:rsidP="00AD0D0F">
                  <w:hyperlink r:id="rId25" w:history="1">
                    <w:r w:rsidR="00493B96" w:rsidRPr="00493B96">
                      <w:rPr>
                        <w:rStyle w:val="Hyperlink"/>
                        <w:b/>
                        <w:iCs/>
                      </w:rPr>
                      <w:t>Summer Starts in September:  A Comprehensive Planning Guide for Summer Learning Programs</w:t>
                    </w:r>
                  </w:hyperlink>
                  <w:r w:rsidR="00493B96" w:rsidRPr="00493B96">
                    <w:rPr>
                      <w:b/>
                      <w:iCs/>
                    </w:rPr>
                    <w:t>.</w:t>
                  </w:r>
                  <w:r w:rsidR="00493B96" w:rsidRPr="00493B96">
                    <w:rPr>
                      <w:b/>
                      <w:bCs/>
                    </w:rPr>
                    <w:t xml:space="preserve"> </w:t>
                  </w:r>
                  <w:r w:rsidR="00493B96">
                    <w:rPr>
                      <w:b/>
                      <w:bCs/>
                    </w:rPr>
                    <w:t xml:space="preserve"> </w:t>
                  </w:r>
                  <w:r w:rsidR="00493B96">
                    <w:t xml:space="preserve">A </w:t>
                  </w:r>
                  <w:r w:rsidR="00493B96" w:rsidRPr="00493B96">
                    <w:t xml:space="preserve">200-page guide full of research-based strategies, program examples and tools that summer program leaders, staff and trainers can use to develop an intentional, high-impact program. The guide is brought to life by 80 </w:t>
                  </w:r>
                  <w:proofErr w:type="gramStart"/>
                  <w:r w:rsidR="00493B96" w:rsidRPr="00493B96">
                    <w:t>summer</w:t>
                  </w:r>
                  <w:proofErr w:type="gramEnd"/>
                  <w:r w:rsidR="00493B96" w:rsidRPr="00493B96">
                    <w:t xml:space="preserve"> learning quality indicators, developed and tested through years of partnership with summer learning programs, researchers and trainers. Together, these indicators make up the Comprehensive Assessment of Summer Programs (CASP). </w:t>
                  </w:r>
                </w:p>
                <w:p w:rsidR="003E7BF0" w:rsidRPr="00AD0D0F" w:rsidRDefault="003E7BF0">
                  <w:pPr>
                    <w:pStyle w:val="Heading3"/>
                    <w:spacing w:line="270" w:lineRule="atLeast"/>
                    <w:rPr>
                      <w:rFonts w:ascii="Arial" w:eastAsia="Times New Roman" w:hAnsi="Arial" w:cs="Arial"/>
                    </w:rPr>
                  </w:pPr>
                  <w:r w:rsidRPr="00AD0D0F">
                    <w:rPr>
                      <w:rFonts w:ascii="Arial" w:eastAsia="Times New Roman" w:hAnsi="Arial" w:cs="Arial"/>
                      <w:color w:val="51B5E0"/>
                    </w:rPr>
                    <w:t>Invite Others!</w:t>
                  </w:r>
                </w:p>
                <w:p w:rsidR="00AD0D0F" w:rsidRPr="00AD0C50" w:rsidRDefault="003E7BF0" w:rsidP="00AD0D0F">
                  <w:r w:rsidRPr="00AD0D0F">
                    <w:t xml:space="preserve">Thanks to all of you once again for </w:t>
                  </w:r>
                  <w:r w:rsidR="00FA05D5">
                    <w:t>participating in the conference</w:t>
                  </w:r>
                  <w:r w:rsidRPr="00AD0D0F">
                    <w:t xml:space="preserve">. We are excited to help facilitate your current work through regular communications and a series of events related to key conference themes. We also encourage you to share this e-blast with others in your community who can benefit from ongoing resources. Feel free to forward this email to others and invite them </w:t>
                  </w:r>
                  <w:r w:rsidRPr="00AD0D0F">
                    <w:lastRenderedPageBreak/>
                    <w:t xml:space="preserve">to sign up to participate. </w:t>
                  </w:r>
                </w:p>
                <w:p w:rsidR="003E7BF0" w:rsidRPr="00AD0D0F" w:rsidRDefault="003E7BF0" w:rsidP="00AD0D0F">
                  <w:pPr>
                    <w:rPr>
                      <w:rFonts w:cs="Arial"/>
                      <w:szCs w:val="18"/>
                    </w:rPr>
                  </w:pPr>
                  <w:r w:rsidRPr="00AD0D0F">
                    <w:rPr>
                      <w:rFonts w:cs="Arial"/>
                      <w:szCs w:val="18"/>
                    </w:rPr>
                    <w:t xml:space="preserve">If you have been forwarded this email and would like to receive ongoing communications from AYPF, please email </w:t>
                  </w:r>
                  <w:hyperlink r:id="rId26" w:history="1">
                    <w:r w:rsidRPr="00AD0D0F">
                      <w:rPr>
                        <w:rStyle w:val="Hyperlink"/>
                        <w:rFonts w:cs="Arial"/>
                        <w:szCs w:val="18"/>
                      </w:rPr>
                      <w:t>aypf@aypf.org</w:t>
                    </w:r>
                  </w:hyperlink>
                  <w:r w:rsidRPr="00AD0D0F">
                    <w:rPr>
                      <w:rFonts w:cs="Arial"/>
                      <w:szCs w:val="18"/>
                    </w:rPr>
                    <w:t xml:space="preserve"> with the subject line: Better Together.</w:t>
                  </w:r>
                </w:p>
                <w:tbl>
                  <w:tblPr>
                    <w:tblW w:w="7575" w:type="dxa"/>
                    <w:tblCellSpacing w:w="0" w:type="dxa"/>
                    <w:tblLayout w:type="fixed"/>
                    <w:tblCellMar>
                      <w:left w:w="0" w:type="dxa"/>
                      <w:right w:w="0" w:type="dxa"/>
                    </w:tblCellMar>
                    <w:tblLook w:val="04A0"/>
                  </w:tblPr>
                  <w:tblGrid>
                    <w:gridCol w:w="7575"/>
                  </w:tblGrid>
                  <w:tr w:rsidR="003E7BF0" w:rsidRPr="00AD0D0F" w:rsidTr="00FA05D5">
                    <w:trPr>
                      <w:trHeight w:val="70"/>
                      <w:tblCellSpacing w:w="0" w:type="dxa"/>
                    </w:trPr>
                    <w:tc>
                      <w:tcPr>
                        <w:tcW w:w="7575" w:type="dxa"/>
                        <w:tcBorders>
                          <w:top w:val="single" w:sz="8" w:space="0" w:color="CCCCCC"/>
                          <w:left w:val="nil"/>
                          <w:bottom w:val="nil"/>
                          <w:right w:val="nil"/>
                        </w:tcBorders>
                        <w:vAlign w:val="center"/>
                        <w:hideMark/>
                      </w:tcPr>
                      <w:p w:rsidR="003E7BF0" w:rsidRPr="00AD0D0F" w:rsidRDefault="003E7BF0">
                        <w:pPr>
                          <w:rPr>
                            <w:rFonts w:cs="Arial"/>
                          </w:rPr>
                        </w:pPr>
                      </w:p>
                    </w:tc>
                  </w:tr>
                </w:tbl>
                <w:p w:rsidR="003E7BF0" w:rsidRPr="00AD0D0F" w:rsidRDefault="003E7BF0">
                  <w:pPr>
                    <w:spacing w:line="270" w:lineRule="atLeast"/>
                    <w:rPr>
                      <w:rFonts w:cs="Arial"/>
                    </w:rPr>
                  </w:pPr>
                </w:p>
                <w:tbl>
                  <w:tblPr>
                    <w:tblW w:w="7890" w:type="dxa"/>
                    <w:tblCellSpacing w:w="0" w:type="dxa"/>
                    <w:tblLayout w:type="fixed"/>
                    <w:tblCellMar>
                      <w:left w:w="0" w:type="dxa"/>
                      <w:right w:w="0" w:type="dxa"/>
                    </w:tblCellMar>
                    <w:tblLook w:val="04A0"/>
                  </w:tblPr>
                  <w:tblGrid>
                    <w:gridCol w:w="7890"/>
                  </w:tblGrid>
                  <w:tr w:rsidR="003E7BF0" w:rsidRPr="00AD0D0F" w:rsidTr="002F2530">
                    <w:trPr>
                      <w:tblCellSpacing w:w="0" w:type="dxa"/>
                    </w:trPr>
                    <w:tc>
                      <w:tcPr>
                        <w:tcW w:w="7890" w:type="dxa"/>
                        <w:hideMark/>
                      </w:tcPr>
                      <w:p w:rsidR="003E7BF0" w:rsidRPr="00AD0D0F" w:rsidRDefault="003E7BF0" w:rsidP="00AD0D0F">
                        <w:r w:rsidRPr="00AD0D0F">
                          <w:rPr>
                            <w:noProof/>
                          </w:rPr>
                          <w:drawing>
                            <wp:anchor distT="0" distB="0" distL="0" distR="0" simplePos="0" relativeHeight="251660288" behindDoc="0" locked="0" layoutInCell="1" allowOverlap="0">
                              <wp:simplePos x="0" y="0"/>
                              <wp:positionH relativeFrom="column">
                                <wp:align>left</wp:align>
                              </wp:positionH>
                              <wp:positionV relativeFrom="line">
                                <wp:posOffset>0</wp:posOffset>
                              </wp:positionV>
                              <wp:extent cx="1524000" cy="457200"/>
                              <wp:effectExtent l="19050" t="0" r="0" b="0"/>
                              <wp:wrapSquare wrapText="bothSides"/>
                              <wp:docPr id="9" name="Picture 2" descr="image016.jpg@01CE9F3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6.jpg@01CE9F39">
                                        <a:hlinkClick r:id="rId8"/>
                                      </pic:cNvPr>
                                      <pic:cNvPicPr>
                                        <a:picLocks noChangeAspect="1" noChangeArrowheads="1"/>
                                      </pic:cNvPicPr>
                                    </pic:nvPicPr>
                                    <pic:blipFill>
                                      <a:blip r:embed="rId9" cstate="print"/>
                                      <a:srcRect/>
                                      <a:stretch>
                                        <a:fillRect/>
                                      </a:stretch>
                                    </pic:blipFill>
                                    <pic:spPr bwMode="auto">
                                      <a:xfrm>
                                        <a:off x="0" y="0"/>
                                        <a:ext cx="1524000" cy="457200"/>
                                      </a:xfrm>
                                      <a:prstGeom prst="rect">
                                        <a:avLst/>
                                      </a:prstGeom>
                                      <a:noFill/>
                                    </pic:spPr>
                                  </pic:pic>
                                </a:graphicData>
                              </a:graphic>
                            </wp:anchor>
                          </w:drawing>
                        </w:r>
                        <w:r w:rsidRPr="00AD0D0F">
                          <w:rPr>
                            <w:rStyle w:val="Strong"/>
                            <w:rFonts w:cs="Arial"/>
                            <w:szCs w:val="18"/>
                          </w:rPr>
                          <w:t>The American Youth Policy Forum</w:t>
                        </w:r>
                        <w:r w:rsidRPr="00AD0D0F">
                          <w:t xml:space="preserve">, a nonprofit, nonpartisan professional development organization based in Washington, DC, educates and informs policymakers, practitioners, and researchers working on education, workforce, and youth issues at the national, state, and local levels. AYPF has had a long history and involvement with afterschool issues and continues to work with national, state, and local policymakers and practitioners to continue to build and deepen knowledge, understanding, and support of expanded learning, afterschool, and summer programs for adolescent youth and of school-community partnerships. For more information on our work in afterschool and expanded learning, please visit:  </w:t>
                        </w:r>
                        <w:hyperlink r:id="rId27" w:history="1">
                          <w:r w:rsidRPr="00AD0D0F">
                            <w:rPr>
                              <w:rStyle w:val="Hyperlink"/>
                              <w:rFonts w:cs="Arial"/>
                              <w:szCs w:val="18"/>
                            </w:rPr>
                            <w:t>http://www.aypf.org/programareas/</w:t>
                          </w:r>
                          <w:r w:rsidRPr="00AD0D0F">
                            <w:rPr>
                              <w:color w:val="0000FF"/>
                              <w:u w:val="single"/>
                            </w:rPr>
                            <w:br/>
                          </w:r>
                          <w:proofErr w:type="spellStart"/>
                          <w:r w:rsidRPr="00AD0D0F">
                            <w:rPr>
                              <w:rStyle w:val="Hyperlink"/>
                              <w:rFonts w:cs="Arial"/>
                              <w:szCs w:val="18"/>
                            </w:rPr>
                            <w:t>afterschoolexpanded</w:t>
                          </w:r>
                          <w:proofErr w:type="spellEnd"/>
                          <w:r w:rsidRPr="00AD0D0F">
                            <w:rPr>
                              <w:rStyle w:val="Hyperlink"/>
                              <w:rFonts w:cs="Arial"/>
                              <w:szCs w:val="18"/>
                            </w:rPr>
                            <w:t>-learning/</w:t>
                          </w:r>
                        </w:hyperlink>
                      </w:p>
                    </w:tc>
                  </w:tr>
                  <w:tr w:rsidR="003E7BF0" w:rsidRPr="00AD0D0F" w:rsidTr="002F2530">
                    <w:trPr>
                      <w:tblCellSpacing w:w="0" w:type="dxa"/>
                    </w:trPr>
                    <w:tc>
                      <w:tcPr>
                        <w:tcW w:w="7890" w:type="dxa"/>
                        <w:hideMark/>
                      </w:tcPr>
                      <w:p w:rsidR="003E7BF0" w:rsidRPr="00AD0D0F" w:rsidRDefault="00DE55A6" w:rsidP="00AD0D0F">
                        <w:pPr>
                          <w:rPr>
                            <w:color w:val="000000"/>
                            <w:shd w:val="clear" w:color="auto" w:fill="FFFF00"/>
                          </w:rPr>
                        </w:pPr>
                        <w:r w:rsidRPr="00AD0D0F">
                          <w:rPr>
                            <w:b/>
                            <w:bCs/>
                            <w:noProof/>
                          </w:rPr>
                          <w:drawing>
                            <wp:anchor distT="0" distB="0" distL="0" distR="0" simplePos="0" relativeHeight="251666432" behindDoc="0" locked="0" layoutInCell="1" allowOverlap="0">
                              <wp:simplePos x="0" y="0"/>
                              <wp:positionH relativeFrom="column">
                                <wp:posOffset>99695</wp:posOffset>
                              </wp:positionH>
                              <wp:positionV relativeFrom="line">
                                <wp:posOffset>88900</wp:posOffset>
                              </wp:positionV>
                              <wp:extent cx="1405890" cy="605155"/>
                              <wp:effectExtent l="19050" t="0" r="3810" b="0"/>
                              <wp:wrapSquare wrapText="bothSides"/>
                              <wp:docPr id="10" name="Picture 7" descr="image006.jpg@01CEA013">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mage006.jpg@01CEA013">
                                        <a:hlinkClick r:id="rId28"/>
                                      </pic:cNvPr>
                                      <pic:cNvPicPr>
                                        <a:picLocks noChangeAspect="1" noChangeArrowheads="1"/>
                                      </pic:cNvPicPr>
                                    </pic:nvPicPr>
                                    <pic:blipFill>
                                      <a:blip r:embed="rId29" cstate="print"/>
                                      <a:srcRect/>
                                      <a:stretch>
                                        <a:fillRect/>
                                      </a:stretch>
                                    </pic:blipFill>
                                    <pic:spPr bwMode="auto">
                                      <a:xfrm>
                                        <a:off x="0" y="0"/>
                                        <a:ext cx="1405890" cy="605155"/>
                                      </a:xfrm>
                                      <a:prstGeom prst="rect">
                                        <a:avLst/>
                                      </a:prstGeom>
                                      <a:noFill/>
                                    </pic:spPr>
                                  </pic:pic>
                                </a:graphicData>
                              </a:graphic>
                            </wp:anchor>
                          </w:drawing>
                        </w:r>
                        <w:r w:rsidR="003E7BF0" w:rsidRPr="00AD0D0F">
                          <w:rPr>
                            <w:rStyle w:val="Strong"/>
                            <w:rFonts w:cs="Arial"/>
                            <w:szCs w:val="18"/>
                            <w:shd w:val="clear" w:color="auto" w:fill="FFFFFF"/>
                          </w:rPr>
                          <w:t>The Collaborative for Building After-School Systems (CBASS)</w:t>
                        </w:r>
                        <w:r w:rsidR="003E7BF0" w:rsidRPr="00AD0D0F">
                          <w:rPr>
                            <w:rStyle w:val="apple-converted-space"/>
                            <w:rFonts w:cs="Arial"/>
                            <w:szCs w:val="18"/>
                            <w:shd w:val="clear" w:color="auto" w:fill="FFFFFF"/>
                          </w:rPr>
                          <w:t> </w:t>
                        </w:r>
                        <w:r w:rsidR="003E7BF0" w:rsidRPr="00AD0D0F">
                          <w:rPr>
                            <w:color w:val="000000"/>
                            <w:shd w:val="clear" w:color="auto" w:fill="FFFFFF"/>
                          </w:rPr>
                          <w:t xml:space="preserve">is a coalition of leading expanded learning intermediary organizations representing cities and regions across the country. CBASS works to expand the availability of high-quality learning opportunities, including after-school, summer and expanded-learning </w:t>
                        </w:r>
                        <w:proofErr w:type="gramStart"/>
                        <w:r w:rsidR="003E7BF0" w:rsidRPr="00AD0D0F">
                          <w:rPr>
                            <w:color w:val="000000"/>
                            <w:shd w:val="clear" w:color="auto" w:fill="FFFFFF"/>
                          </w:rPr>
                          <w:t>programs, that</w:t>
                        </w:r>
                        <w:proofErr w:type="gramEnd"/>
                        <w:r w:rsidR="003E7BF0" w:rsidRPr="00AD0D0F">
                          <w:rPr>
                            <w:color w:val="000000"/>
                            <w:shd w:val="clear" w:color="auto" w:fill="FFFFFF"/>
                          </w:rPr>
                          <w:t xml:space="preserve"> help children gain the skills, knowledge and experiences they need to lead successful lives. CBASS is a leading source for news, resources, and best practices in after-school and systems-building. Stay connected to CBASS’ growing network of system-builders and upcoming events through the</w:t>
                        </w:r>
                        <w:r w:rsidR="003E7BF0" w:rsidRPr="00AD0D0F">
                          <w:rPr>
                            <w:rStyle w:val="apple-converted-space"/>
                            <w:rFonts w:cs="Arial"/>
                            <w:szCs w:val="18"/>
                            <w:shd w:val="clear" w:color="auto" w:fill="FFFFFF"/>
                          </w:rPr>
                          <w:t> </w:t>
                        </w:r>
                        <w:hyperlink r:id="rId30" w:tgtFrame="_blank" w:history="1">
                          <w:r w:rsidR="003E7BF0" w:rsidRPr="00AD0D0F">
                            <w:rPr>
                              <w:rStyle w:val="Hyperlink"/>
                              <w:rFonts w:cs="Arial"/>
                              <w:szCs w:val="18"/>
                              <w:shd w:val="clear" w:color="auto" w:fill="FFFFFF"/>
                            </w:rPr>
                            <w:t>listserv</w:t>
                          </w:r>
                        </w:hyperlink>
                        <w:r w:rsidR="003E7BF0" w:rsidRPr="00AD0D0F">
                          <w:rPr>
                            <w:rStyle w:val="apple-converted-space"/>
                            <w:rFonts w:cs="Arial"/>
                            <w:szCs w:val="18"/>
                            <w:shd w:val="clear" w:color="auto" w:fill="FFFFFF"/>
                          </w:rPr>
                          <w:t> </w:t>
                        </w:r>
                        <w:r w:rsidR="003E7BF0" w:rsidRPr="00AD0D0F">
                          <w:rPr>
                            <w:color w:val="000000"/>
                            <w:shd w:val="clear" w:color="auto" w:fill="FFFFFF"/>
                          </w:rPr>
                          <w:t>and</w:t>
                        </w:r>
                        <w:r w:rsidR="003E7BF0" w:rsidRPr="00AD0D0F">
                          <w:rPr>
                            <w:rStyle w:val="apple-converted-space"/>
                            <w:rFonts w:cs="Arial"/>
                            <w:szCs w:val="18"/>
                            <w:shd w:val="clear" w:color="auto" w:fill="FFFFFF"/>
                          </w:rPr>
                          <w:t> </w:t>
                        </w:r>
                        <w:hyperlink r:id="rId31" w:tgtFrame="_blank" w:history="1">
                          <w:r w:rsidR="003E7BF0" w:rsidRPr="00AD0D0F">
                            <w:rPr>
                              <w:rStyle w:val="Hyperlink"/>
                              <w:rFonts w:cs="Arial"/>
                              <w:szCs w:val="18"/>
                              <w:shd w:val="clear" w:color="auto" w:fill="FFFFFF"/>
                            </w:rPr>
                            <w:t>quarterly e-news</w:t>
                          </w:r>
                        </w:hyperlink>
                        <w:r w:rsidR="003E7BF0" w:rsidRPr="00AD0D0F">
                          <w:rPr>
                            <w:rStyle w:val="apple-converted-space"/>
                            <w:rFonts w:cs="Arial"/>
                            <w:color w:val="1F497D"/>
                            <w:szCs w:val="18"/>
                            <w:shd w:val="clear" w:color="auto" w:fill="FFFFFF"/>
                          </w:rPr>
                          <w:t> </w:t>
                        </w:r>
                        <w:r w:rsidR="003E7BF0" w:rsidRPr="00AD0D0F">
                          <w:rPr>
                            <w:shd w:val="clear" w:color="auto" w:fill="FFFFFF"/>
                          </w:rPr>
                          <w:t>and</w:t>
                        </w:r>
                        <w:r w:rsidR="003E7BF0" w:rsidRPr="00AD0D0F">
                          <w:rPr>
                            <w:color w:val="1F497D"/>
                            <w:shd w:val="clear" w:color="auto" w:fill="FFFFFF"/>
                          </w:rPr>
                          <w:t xml:space="preserve"> </w:t>
                        </w:r>
                        <w:r w:rsidR="003E7BF0" w:rsidRPr="00AD0D0F">
                          <w:rPr>
                            <w:shd w:val="clear" w:color="auto" w:fill="FFFFFF"/>
                          </w:rPr>
                          <w:t>at</w:t>
                        </w:r>
                        <w:r w:rsidR="003E7BF0" w:rsidRPr="00AD0D0F">
                          <w:rPr>
                            <w:color w:val="1F497D"/>
                            <w:shd w:val="clear" w:color="auto" w:fill="FFFFFF"/>
                          </w:rPr>
                          <w:t xml:space="preserve"> </w:t>
                        </w:r>
                        <w:hyperlink r:id="rId32" w:history="1">
                          <w:r w:rsidR="003E7BF0" w:rsidRPr="00AD0D0F">
                            <w:rPr>
                              <w:rStyle w:val="Hyperlink"/>
                              <w:rFonts w:cs="Arial"/>
                              <w:szCs w:val="18"/>
                              <w:shd w:val="clear" w:color="auto" w:fill="FFFFFF"/>
                            </w:rPr>
                            <w:t>www.afterschoolsystems.org</w:t>
                          </w:r>
                        </w:hyperlink>
                        <w:r w:rsidR="003E7BF0" w:rsidRPr="00AD0D0F">
                          <w:rPr>
                            <w:color w:val="1F497D"/>
                            <w:shd w:val="clear" w:color="auto" w:fill="FFFFFF"/>
                          </w:rPr>
                          <w:t xml:space="preserve">. </w:t>
                        </w:r>
                      </w:p>
                      <w:p w:rsidR="003E7BF0" w:rsidRPr="00AD0D0F" w:rsidRDefault="003E7BF0" w:rsidP="00AD0D0F"/>
                    </w:tc>
                  </w:tr>
                  <w:tr w:rsidR="003E7BF0" w:rsidRPr="00AD0D0F" w:rsidTr="002F2530">
                    <w:trPr>
                      <w:trHeight w:val="2160"/>
                      <w:tblCellSpacing w:w="0" w:type="dxa"/>
                    </w:trPr>
                    <w:tc>
                      <w:tcPr>
                        <w:tcW w:w="7890" w:type="dxa"/>
                        <w:hideMark/>
                      </w:tcPr>
                      <w:p w:rsidR="003E7BF0" w:rsidRPr="00AD0D0F" w:rsidRDefault="003E7BF0" w:rsidP="00AD0D0F">
                        <w:r w:rsidRPr="00AD0D0F">
                          <w:rPr>
                            <w:noProof/>
                          </w:rPr>
                          <w:drawing>
                            <wp:anchor distT="0" distB="0" distL="0" distR="0" simplePos="0" relativeHeight="251662336" behindDoc="0" locked="0" layoutInCell="1" allowOverlap="0">
                              <wp:simplePos x="0" y="0"/>
                              <wp:positionH relativeFrom="column">
                                <wp:align>left</wp:align>
                              </wp:positionH>
                              <wp:positionV relativeFrom="line">
                                <wp:posOffset>0</wp:posOffset>
                              </wp:positionV>
                              <wp:extent cx="942975" cy="457200"/>
                              <wp:effectExtent l="19050" t="0" r="9525" b="0"/>
                              <wp:wrapSquare wrapText="bothSides"/>
                              <wp:docPr id="7" name="Picture 4" descr="image020.jpg@01CE9F39">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020.jpg@01CE9F39">
                                        <a:hlinkClick r:id="rId33"/>
                                      </pic:cNvPr>
                                      <pic:cNvPicPr>
                                        <a:picLocks noChangeAspect="1" noChangeArrowheads="1"/>
                                      </pic:cNvPicPr>
                                    </pic:nvPicPr>
                                    <pic:blipFill>
                                      <a:blip r:embed="rId34" cstate="print"/>
                                      <a:srcRect/>
                                      <a:stretch>
                                        <a:fillRect/>
                                      </a:stretch>
                                    </pic:blipFill>
                                    <pic:spPr bwMode="auto">
                                      <a:xfrm>
                                        <a:off x="0" y="0"/>
                                        <a:ext cx="942975" cy="457200"/>
                                      </a:xfrm>
                                      <a:prstGeom prst="rect">
                                        <a:avLst/>
                                      </a:prstGeom>
                                      <a:noFill/>
                                    </pic:spPr>
                                  </pic:pic>
                                </a:graphicData>
                              </a:graphic>
                            </wp:anchor>
                          </w:drawing>
                        </w:r>
                        <w:r w:rsidRPr="00AD0D0F">
                          <w:rPr>
                            <w:rStyle w:val="Strong"/>
                            <w:rFonts w:cs="Arial"/>
                            <w:szCs w:val="18"/>
                          </w:rPr>
                          <w:t>The Forum for Youth Investmen</w:t>
                        </w:r>
                        <w:r w:rsidRPr="00AD0D0F">
                          <w:t xml:space="preserve">t is a nonprofit, nonpartisan "action tank" dedicated to helping communities and the nation make sure all young people are Ready by 21®: ready for college, work and life. Informed by rigorous research and practical experience, the Forum forges innovative ideas, strategies and partners to strengthen solutions for young people and those who care about them. For upcoming events and webinars, see </w:t>
                        </w:r>
                        <w:hyperlink r:id="rId35" w:history="1">
                          <w:r w:rsidRPr="00AD0D0F">
                            <w:rPr>
                              <w:rStyle w:val="Hyperlink"/>
                              <w:rFonts w:cs="Arial"/>
                              <w:szCs w:val="18"/>
                            </w:rPr>
                            <w:t>http://www.readyby21.org/events</w:t>
                          </w:r>
                        </w:hyperlink>
                        <w:r w:rsidRPr="00AD0D0F">
                          <w:t xml:space="preserve">. The David P. </w:t>
                        </w:r>
                        <w:proofErr w:type="spellStart"/>
                        <w:r w:rsidRPr="00AD0D0F">
                          <w:t>Weikart</w:t>
                        </w:r>
                        <w:proofErr w:type="spellEnd"/>
                        <w:r w:rsidRPr="00AD0D0F">
                          <w:t xml:space="preserve"> Center for Youth Program Quality, a division of the Forum, empowers education and human service leaders to </w:t>
                        </w:r>
                        <w:proofErr w:type="gramStart"/>
                        <w:r w:rsidRPr="00AD0D0F">
                          <w:t>adapt,</w:t>
                        </w:r>
                        <w:proofErr w:type="gramEnd"/>
                        <w:r w:rsidRPr="00AD0D0F">
                          <w:t xml:space="preserve"> implement and scale research validated quality improvement systems to advance child and youth development. For upcoming events and webinars, see </w:t>
                        </w:r>
                        <w:hyperlink r:id="rId36" w:history="1">
                          <w:r w:rsidRPr="00AD0D0F">
                            <w:rPr>
                              <w:rStyle w:val="Hyperlink"/>
                              <w:rFonts w:cs="Arial"/>
                              <w:szCs w:val="18"/>
                            </w:rPr>
                            <w:t>http://www.cypq.org/projects/overview</w:t>
                          </w:r>
                        </w:hyperlink>
                        <w:r w:rsidRPr="00AD0D0F">
                          <w:t xml:space="preserve">. </w:t>
                        </w:r>
                      </w:p>
                    </w:tc>
                  </w:tr>
                  <w:tr w:rsidR="003E7BF0" w:rsidRPr="00AD0D0F" w:rsidTr="002F2530">
                    <w:trPr>
                      <w:tblCellSpacing w:w="0" w:type="dxa"/>
                    </w:trPr>
                    <w:tc>
                      <w:tcPr>
                        <w:tcW w:w="7890" w:type="dxa"/>
                        <w:hideMark/>
                      </w:tcPr>
                      <w:p w:rsidR="003E7BF0" w:rsidRPr="00AD0D0F" w:rsidRDefault="003E7BF0" w:rsidP="00AD0D0F">
                        <w:r w:rsidRPr="00AD0D0F">
                          <w:rPr>
                            <w:noProof/>
                          </w:rPr>
                          <w:lastRenderedPageBreak/>
                          <w:drawing>
                            <wp:anchor distT="0" distB="0" distL="0" distR="0" simplePos="0" relativeHeight="251663360" behindDoc="0" locked="0" layoutInCell="1" allowOverlap="0">
                              <wp:simplePos x="0" y="0"/>
                              <wp:positionH relativeFrom="column">
                                <wp:align>left</wp:align>
                              </wp:positionH>
                              <wp:positionV relativeFrom="line">
                                <wp:posOffset>0</wp:posOffset>
                              </wp:positionV>
                              <wp:extent cx="1323975" cy="409575"/>
                              <wp:effectExtent l="19050" t="0" r="9525" b="0"/>
                              <wp:wrapSquare wrapText="bothSides"/>
                              <wp:docPr id="5" name="Picture 5" descr="image021.jpg@01CE9F39">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mage021.jpg@01CE9F39">
                                        <a:hlinkClick r:id="rId37"/>
                                      </pic:cNvPr>
                                      <pic:cNvPicPr>
                                        <a:picLocks noChangeAspect="1" noChangeArrowheads="1"/>
                                      </pic:cNvPicPr>
                                    </pic:nvPicPr>
                                    <pic:blipFill>
                                      <a:blip r:embed="rId38" cstate="print"/>
                                      <a:srcRect/>
                                      <a:stretch>
                                        <a:fillRect/>
                                      </a:stretch>
                                    </pic:blipFill>
                                    <pic:spPr bwMode="auto">
                                      <a:xfrm>
                                        <a:off x="0" y="0"/>
                                        <a:ext cx="1323975" cy="409575"/>
                                      </a:xfrm>
                                      <a:prstGeom prst="rect">
                                        <a:avLst/>
                                      </a:prstGeom>
                                      <a:noFill/>
                                    </pic:spPr>
                                  </pic:pic>
                                </a:graphicData>
                              </a:graphic>
                            </wp:anchor>
                          </w:drawing>
                        </w:r>
                        <w:r w:rsidRPr="00AD0D0F">
                          <w:rPr>
                            <w:rStyle w:val="Strong"/>
                            <w:rFonts w:cs="Arial"/>
                            <w:szCs w:val="18"/>
                          </w:rPr>
                          <w:t>The National League of Cities (NLC)</w:t>
                        </w:r>
                        <w:r w:rsidRPr="00AD0D0F">
                          <w:t xml:space="preserve"> is a national membership organization dedicated to helping city leaders build better communities. Working in partnership with 49 state municipal leagues, NLC serves as a resource to and an advocate for the more than 19,000 cities, villages and towns it represents.  To learn more, visit </w:t>
                        </w:r>
                        <w:hyperlink r:id="rId39" w:history="1">
                          <w:r w:rsidRPr="00AD0D0F">
                            <w:rPr>
                              <w:rStyle w:val="Hyperlink"/>
                              <w:rFonts w:cs="Arial"/>
                              <w:szCs w:val="18"/>
                            </w:rPr>
                            <w:t>www.nlc.org</w:t>
                          </w:r>
                        </w:hyperlink>
                      </w:p>
                      <w:p w:rsidR="003E7BF0" w:rsidRPr="00AD0D0F" w:rsidRDefault="003E7BF0" w:rsidP="00AD0D0F">
                        <w:r w:rsidRPr="00AD0D0F">
                          <w:t xml:space="preserve">The Institute for Youth, Education, and Families (YEF Institute), a special entity within NLC, helps municipal leaders take action on behalf of the children, youth, and families in their communities. Within the afterschool program area, YEF has provided technical assistance to over 40 cities to help build their citywide afterschool systems and established the Afterschool Policy Advisors’ Network (APAN), a network of city leaders interested in learning and sharing best practices on afterschool efforts.  Over the past decade, YEF has documented lessons learned and created numerous strategy guides with useful city examples and profiles.  To learn more and to access these resources, please visit </w:t>
                        </w:r>
                        <w:hyperlink r:id="rId40" w:history="1">
                          <w:r w:rsidRPr="00AD0D0F">
                            <w:rPr>
                              <w:rStyle w:val="Hyperlink"/>
                              <w:rFonts w:cs="Arial"/>
                              <w:szCs w:val="18"/>
                            </w:rPr>
                            <w:t>http://www.nlc.org/find-city-solutions/institute-for-youth-education-and-families/afterschool</w:t>
                          </w:r>
                        </w:hyperlink>
                        <w:r w:rsidRPr="00AD0D0F">
                          <w:t>.</w:t>
                        </w:r>
                      </w:p>
                    </w:tc>
                  </w:tr>
                  <w:tr w:rsidR="003E7BF0" w:rsidRPr="00AD0D0F" w:rsidTr="002F2530">
                    <w:trPr>
                      <w:tblCellSpacing w:w="0" w:type="dxa"/>
                    </w:trPr>
                    <w:tc>
                      <w:tcPr>
                        <w:tcW w:w="7890" w:type="dxa"/>
                        <w:hideMark/>
                      </w:tcPr>
                      <w:p w:rsidR="003E7BF0" w:rsidRPr="00AD0D0F" w:rsidRDefault="003E7BF0" w:rsidP="00AD0D0F">
                        <w:r w:rsidRPr="00AD0D0F">
                          <w:rPr>
                            <w:b/>
                            <w:noProof/>
                          </w:rPr>
                          <w:drawing>
                            <wp:anchor distT="0" distB="0" distL="0" distR="0" simplePos="0" relativeHeight="251664384" behindDoc="0" locked="0" layoutInCell="1" allowOverlap="0">
                              <wp:simplePos x="0" y="0"/>
                              <wp:positionH relativeFrom="column">
                                <wp:align>left</wp:align>
                              </wp:positionH>
                              <wp:positionV relativeFrom="line">
                                <wp:posOffset>0</wp:posOffset>
                              </wp:positionV>
                              <wp:extent cx="1247775" cy="381000"/>
                              <wp:effectExtent l="19050" t="0" r="9525" b="0"/>
                              <wp:wrapSquare wrapText="bothSides"/>
                              <wp:docPr id="6" name="Picture 6" descr="image015.jpg@01CE9F39">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015.jpg@01CE9F39">
                                        <a:hlinkClick r:id="rId5"/>
                                      </pic:cNvPr>
                                      <pic:cNvPicPr>
                                        <a:picLocks noChangeAspect="1" noChangeArrowheads="1"/>
                                      </pic:cNvPicPr>
                                    </pic:nvPicPr>
                                    <pic:blipFill>
                                      <a:blip r:embed="rId6" cstate="print"/>
                                      <a:srcRect/>
                                      <a:stretch>
                                        <a:fillRect/>
                                      </a:stretch>
                                    </pic:blipFill>
                                    <pic:spPr bwMode="auto">
                                      <a:xfrm>
                                        <a:off x="0" y="0"/>
                                        <a:ext cx="1247775" cy="381000"/>
                                      </a:xfrm>
                                      <a:prstGeom prst="rect">
                                        <a:avLst/>
                                      </a:prstGeom>
                                      <a:noFill/>
                                    </pic:spPr>
                                  </pic:pic>
                                </a:graphicData>
                              </a:graphic>
                            </wp:anchor>
                          </w:drawing>
                        </w:r>
                        <w:r w:rsidRPr="00AD0D0F">
                          <w:rPr>
                            <w:b/>
                          </w:rPr>
                          <w:t xml:space="preserve">The Wallace Foundation </w:t>
                        </w:r>
                        <w:r w:rsidRPr="00AD0D0F">
                          <w:t xml:space="preserve">is a national philanthropy that seeks to improve education and enrichment for disadvantaged children. The foundation has an unusual approach: funding projects to test innovative ideas for solving important social problems, conducting research to find out what works and what doesn’t and to fill key knowledge gaps – and then communicating the results to help others. Visit the </w:t>
                        </w:r>
                        <w:hyperlink r:id="rId41" w:history="1">
                          <w:r w:rsidRPr="00AD0D0F">
                            <w:rPr>
                              <w:rStyle w:val="Hyperlink"/>
                              <w:rFonts w:cs="Arial"/>
                              <w:szCs w:val="18"/>
                            </w:rPr>
                            <w:t>Knowledge Center</w:t>
                          </w:r>
                        </w:hyperlink>
                        <w:r w:rsidRPr="00AD0D0F">
                          <w:t xml:space="preserve"> to learn more about their strategies, tools, and grantees.</w:t>
                        </w:r>
                      </w:p>
                      <w:p w:rsidR="003E7BF0" w:rsidRPr="00AD0D0F" w:rsidRDefault="003E7BF0" w:rsidP="00AD0D0F">
                        <w:r w:rsidRPr="00AD0D0F">
                          <w:t> </w:t>
                        </w:r>
                      </w:p>
                    </w:tc>
                  </w:tr>
                </w:tbl>
                <w:p w:rsidR="003E7BF0" w:rsidRPr="00AD0D0F" w:rsidRDefault="003E7BF0">
                  <w:pPr>
                    <w:rPr>
                      <w:rFonts w:eastAsia="Times New Roman" w:cs="Arial"/>
                      <w:sz w:val="20"/>
                      <w:szCs w:val="20"/>
                    </w:rPr>
                  </w:pPr>
                </w:p>
              </w:tc>
              <w:tc>
                <w:tcPr>
                  <w:tcW w:w="523" w:type="dxa"/>
                  <w:tcMar>
                    <w:top w:w="90" w:type="dxa"/>
                    <w:left w:w="0" w:type="dxa"/>
                    <w:bottom w:w="0" w:type="dxa"/>
                    <w:right w:w="0" w:type="dxa"/>
                  </w:tcMar>
                  <w:hideMark/>
                </w:tcPr>
                <w:p w:rsidR="003E7BF0" w:rsidRDefault="003E7BF0">
                  <w:r>
                    <w:lastRenderedPageBreak/>
                    <w:t xml:space="preserve">  </w:t>
                  </w:r>
                </w:p>
              </w:tc>
            </w:tr>
          </w:tbl>
          <w:p w:rsidR="003E7BF0" w:rsidRDefault="003E7BF0">
            <w:pPr>
              <w:rPr>
                <w:rFonts w:ascii="Times New Roman" w:eastAsia="Times New Roman" w:hAnsi="Times New Roman"/>
                <w:sz w:val="20"/>
                <w:szCs w:val="20"/>
              </w:rPr>
            </w:pPr>
          </w:p>
        </w:tc>
      </w:tr>
    </w:tbl>
    <w:p w:rsidR="00DB3B0F" w:rsidRDefault="00DB3B0F"/>
    <w:sectPr w:rsidR="00DB3B0F" w:rsidSect="00DB3B0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4C25C1"/>
    <w:multiLevelType w:val="multilevel"/>
    <w:tmpl w:val="0E9A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40432C"/>
    <w:multiLevelType w:val="multilevel"/>
    <w:tmpl w:val="81F8787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7E54357C"/>
    <w:multiLevelType w:val="hybridMultilevel"/>
    <w:tmpl w:val="36884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E7BF0"/>
    <w:rsid w:val="00091117"/>
    <w:rsid w:val="00107F5B"/>
    <w:rsid w:val="001C543B"/>
    <w:rsid w:val="002F2530"/>
    <w:rsid w:val="00301735"/>
    <w:rsid w:val="003B4D6F"/>
    <w:rsid w:val="003C187C"/>
    <w:rsid w:val="003E7BF0"/>
    <w:rsid w:val="00441082"/>
    <w:rsid w:val="00467F28"/>
    <w:rsid w:val="00493B96"/>
    <w:rsid w:val="004C0AB8"/>
    <w:rsid w:val="00644CC7"/>
    <w:rsid w:val="006B18B8"/>
    <w:rsid w:val="00792DFD"/>
    <w:rsid w:val="008B7395"/>
    <w:rsid w:val="008C426E"/>
    <w:rsid w:val="009876C5"/>
    <w:rsid w:val="00990AEF"/>
    <w:rsid w:val="009A13B6"/>
    <w:rsid w:val="00AD0C50"/>
    <w:rsid w:val="00AD0D0F"/>
    <w:rsid w:val="00B045F2"/>
    <w:rsid w:val="00B10BAB"/>
    <w:rsid w:val="00BF6041"/>
    <w:rsid w:val="00D377E5"/>
    <w:rsid w:val="00DB3B0F"/>
    <w:rsid w:val="00DE55A6"/>
    <w:rsid w:val="00EB10EB"/>
    <w:rsid w:val="00EB4AD0"/>
    <w:rsid w:val="00EC3527"/>
    <w:rsid w:val="00EE045D"/>
    <w:rsid w:val="00F67211"/>
    <w:rsid w:val="00FA05D5"/>
    <w:rsid w:val="00FB68DD"/>
    <w:rsid w:val="00FD76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0D0F"/>
    <w:pPr>
      <w:spacing w:before="240" w:after="240" w:line="360" w:lineRule="auto"/>
    </w:pPr>
    <w:rPr>
      <w:rFonts w:ascii="Arial" w:hAnsi="Arial" w:cs="Times New Roman"/>
      <w:sz w:val="18"/>
    </w:rPr>
  </w:style>
  <w:style w:type="paragraph" w:styleId="Heading3">
    <w:name w:val="heading 3"/>
    <w:basedOn w:val="Normal"/>
    <w:link w:val="Heading3Char"/>
    <w:uiPriority w:val="9"/>
    <w:semiHidden/>
    <w:unhideWhenUsed/>
    <w:qFormat/>
    <w:rsid w:val="003E7BF0"/>
    <w:pPr>
      <w:spacing w:before="100" w:beforeAutospacing="1" w:after="100" w:afterAutospacing="1"/>
      <w:outlineLvl w:val="2"/>
    </w:pPr>
    <w:rPr>
      <w:rFonts w:ascii="Times New Roman" w:hAnsi="Times New Roman"/>
      <w:b/>
      <w:bCs/>
      <w:color w:val="000000"/>
      <w:sz w:val="27"/>
      <w:szCs w:val="27"/>
    </w:rPr>
  </w:style>
  <w:style w:type="paragraph" w:styleId="Heading4">
    <w:name w:val="heading 4"/>
    <w:basedOn w:val="Normal"/>
    <w:link w:val="Heading4Char"/>
    <w:uiPriority w:val="9"/>
    <w:semiHidden/>
    <w:unhideWhenUsed/>
    <w:qFormat/>
    <w:rsid w:val="003E7BF0"/>
    <w:pPr>
      <w:spacing w:before="100" w:beforeAutospacing="1" w:after="100" w:afterAutospacing="1"/>
      <w:outlineLvl w:val="3"/>
    </w:pPr>
    <w:rPr>
      <w:rFonts w:ascii="Times New Roman" w:hAnsi="Times New Roman"/>
      <w:b/>
      <w:bCs/>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3E7BF0"/>
    <w:rPr>
      <w:rFonts w:ascii="Times New Roman" w:hAnsi="Times New Roman" w:cs="Times New Roman"/>
      <w:b/>
      <w:bCs/>
      <w:color w:val="000000"/>
      <w:sz w:val="27"/>
      <w:szCs w:val="27"/>
    </w:rPr>
  </w:style>
  <w:style w:type="character" w:customStyle="1" w:styleId="Heading4Char">
    <w:name w:val="Heading 4 Char"/>
    <w:basedOn w:val="DefaultParagraphFont"/>
    <w:link w:val="Heading4"/>
    <w:uiPriority w:val="9"/>
    <w:semiHidden/>
    <w:rsid w:val="003E7BF0"/>
    <w:rPr>
      <w:rFonts w:ascii="Times New Roman" w:hAnsi="Times New Roman" w:cs="Times New Roman"/>
      <w:b/>
      <w:bCs/>
      <w:color w:val="000000"/>
      <w:sz w:val="24"/>
      <w:szCs w:val="24"/>
    </w:rPr>
  </w:style>
  <w:style w:type="character" w:styleId="Hyperlink">
    <w:name w:val="Hyperlink"/>
    <w:basedOn w:val="DefaultParagraphFont"/>
    <w:uiPriority w:val="99"/>
    <w:unhideWhenUsed/>
    <w:rsid w:val="003E7BF0"/>
    <w:rPr>
      <w:color w:val="0000FF"/>
      <w:u w:val="single"/>
    </w:rPr>
  </w:style>
  <w:style w:type="paragraph" w:styleId="NormalWeb">
    <w:name w:val="Normal (Web)"/>
    <w:basedOn w:val="Normal"/>
    <w:uiPriority w:val="99"/>
    <w:unhideWhenUsed/>
    <w:rsid w:val="003E7BF0"/>
    <w:pPr>
      <w:spacing w:before="100" w:beforeAutospacing="1" w:after="100" w:afterAutospacing="1"/>
    </w:pPr>
    <w:rPr>
      <w:rFonts w:ascii="Times New Roman" w:hAnsi="Times New Roman"/>
      <w:color w:val="000000"/>
      <w:sz w:val="24"/>
      <w:szCs w:val="24"/>
    </w:rPr>
  </w:style>
  <w:style w:type="character" w:styleId="Strong">
    <w:name w:val="Strong"/>
    <w:basedOn w:val="DefaultParagraphFont"/>
    <w:uiPriority w:val="22"/>
    <w:qFormat/>
    <w:rsid w:val="003E7BF0"/>
    <w:rPr>
      <w:b/>
      <w:bCs/>
    </w:rPr>
  </w:style>
  <w:style w:type="paragraph" w:styleId="BalloonText">
    <w:name w:val="Balloon Text"/>
    <w:basedOn w:val="Normal"/>
    <w:link w:val="BalloonTextChar"/>
    <w:uiPriority w:val="99"/>
    <w:semiHidden/>
    <w:unhideWhenUsed/>
    <w:rsid w:val="003E7BF0"/>
    <w:rPr>
      <w:rFonts w:ascii="Tahoma" w:hAnsi="Tahoma" w:cs="Tahoma"/>
      <w:sz w:val="16"/>
      <w:szCs w:val="16"/>
    </w:rPr>
  </w:style>
  <w:style w:type="character" w:customStyle="1" w:styleId="BalloonTextChar">
    <w:name w:val="Balloon Text Char"/>
    <w:basedOn w:val="DefaultParagraphFont"/>
    <w:link w:val="BalloonText"/>
    <w:uiPriority w:val="99"/>
    <w:semiHidden/>
    <w:rsid w:val="003E7BF0"/>
    <w:rPr>
      <w:rFonts w:ascii="Tahoma" w:hAnsi="Tahoma" w:cs="Tahoma"/>
      <w:sz w:val="16"/>
      <w:szCs w:val="16"/>
    </w:rPr>
  </w:style>
  <w:style w:type="character" w:customStyle="1" w:styleId="apple-converted-space">
    <w:name w:val="apple-converted-space"/>
    <w:basedOn w:val="DefaultParagraphFont"/>
    <w:rsid w:val="003E7BF0"/>
  </w:style>
  <w:style w:type="character" w:styleId="FollowedHyperlink">
    <w:name w:val="FollowedHyperlink"/>
    <w:basedOn w:val="DefaultParagraphFont"/>
    <w:uiPriority w:val="99"/>
    <w:semiHidden/>
    <w:unhideWhenUsed/>
    <w:rsid w:val="00990AEF"/>
    <w:rPr>
      <w:color w:val="800080" w:themeColor="followedHyperlink"/>
      <w:u w:val="single"/>
    </w:rPr>
  </w:style>
  <w:style w:type="paragraph" w:styleId="ListParagraph">
    <w:name w:val="List Paragraph"/>
    <w:basedOn w:val="Normal"/>
    <w:uiPriority w:val="34"/>
    <w:qFormat/>
    <w:rsid w:val="00AD0C50"/>
    <w:pPr>
      <w:ind w:left="720"/>
      <w:contextualSpacing/>
    </w:pPr>
  </w:style>
  <w:style w:type="character" w:styleId="CommentReference">
    <w:name w:val="annotation reference"/>
    <w:basedOn w:val="DefaultParagraphFont"/>
    <w:uiPriority w:val="99"/>
    <w:semiHidden/>
    <w:unhideWhenUsed/>
    <w:rsid w:val="002F2530"/>
    <w:rPr>
      <w:sz w:val="16"/>
      <w:szCs w:val="16"/>
    </w:rPr>
  </w:style>
  <w:style w:type="paragraph" w:styleId="CommentText">
    <w:name w:val="annotation text"/>
    <w:basedOn w:val="Normal"/>
    <w:link w:val="CommentTextChar"/>
    <w:uiPriority w:val="99"/>
    <w:semiHidden/>
    <w:unhideWhenUsed/>
    <w:rsid w:val="002F2530"/>
    <w:pPr>
      <w:spacing w:line="240" w:lineRule="auto"/>
    </w:pPr>
    <w:rPr>
      <w:sz w:val="20"/>
      <w:szCs w:val="20"/>
    </w:rPr>
  </w:style>
  <w:style w:type="character" w:customStyle="1" w:styleId="CommentTextChar">
    <w:name w:val="Comment Text Char"/>
    <w:basedOn w:val="DefaultParagraphFont"/>
    <w:link w:val="CommentText"/>
    <w:uiPriority w:val="99"/>
    <w:semiHidden/>
    <w:rsid w:val="002F2530"/>
    <w:rPr>
      <w:rFonts w:ascii="Arial" w:hAnsi="Arial" w:cs="Times New Roman"/>
      <w:sz w:val="20"/>
      <w:szCs w:val="20"/>
    </w:rPr>
  </w:style>
  <w:style w:type="paragraph" w:styleId="CommentSubject">
    <w:name w:val="annotation subject"/>
    <w:basedOn w:val="CommentText"/>
    <w:next w:val="CommentText"/>
    <w:link w:val="CommentSubjectChar"/>
    <w:uiPriority w:val="99"/>
    <w:semiHidden/>
    <w:unhideWhenUsed/>
    <w:rsid w:val="002F2530"/>
    <w:rPr>
      <w:b/>
      <w:bCs/>
    </w:rPr>
  </w:style>
  <w:style w:type="character" w:customStyle="1" w:styleId="CommentSubjectChar">
    <w:name w:val="Comment Subject Char"/>
    <w:basedOn w:val="CommentTextChar"/>
    <w:link w:val="CommentSubject"/>
    <w:uiPriority w:val="99"/>
    <w:semiHidden/>
    <w:rsid w:val="002F2530"/>
    <w:rPr>
      <w:b/>
      <w:bCs/>
    </w:rPr>
  </w:style>
</w:styles>
</file>

<file path=word/webSettings.xml><?xml version="1.0" encoding="utf-8"?>
<w:webSettings xmlns:r="http://schemas.openxmlformats.org/officeDocument/2006/relationships" xmlns:w="http://schemas.openxmlformats.org/wordprocessingml/2006/main">
  <w:divs>
    <w:div w:id="7414177">
      <w:bodyDiv w:val="1"/>
      <w:marLeft w:val="0"/>
      <w:marRight w:val="0"/>
      <w:marTop w:val="0"/>
      <w:marBottom w:val="0"/>
      <w:divBdr>
        <w:top w:val="none" w:sz="0" w:space="0" w:color="auto"/>
        <w:left w:val="none" w:sz="0" w:space="0" w:color="auto"/>
        <w:bottom w:val="none" w:sz="0" w:space="0" w:color="auto"/>
        <w:right w:val="none" w:sz="0" w:space="0" w:color="auto"/>
      </w:divBdr>
    </w:div>
    <w:div w:id="235171469">
      <w:bodyDiv w:val="1"/>
      <w:marLeft w:val="0"/>
      <w:marRight w:val="0"/>
      <w:marTop w:val="0"/>
      <w:marBottom w:val="0"/>
      <w:divBdr>
        <w:top w:val="none" w:sz="0" w:space="0" w:color="auto"/>
        <w:left w:val="none" w:sz="0" w:space="0" w:color="auto"/>
        <w:bottom w:val="none" w:sz="0" w:space="0" w:color="auto"/>
        <w:right w:val="none" w:sz="0" w:space="0" w:color="auto"/>
      </w:divBdr>
    </w:div>
    <w:div w:id="320353316">
      <w:bodyDiv w:val="1"/>
      <w:marLeft w:val="0"/>
      <w:marRight w:val="0"/>
      <w:marTop w:val="0"/>
      <w:marBottom w:val="0"/>
      <w:divBdr>
        <w:top w:val="none" w:sz="0" w:space="0" w:color="auto"/>
        <w:left w:val="none" w:sz="0" w:space="0" w:color="auto"/>
        <w:bottom w:val="none" w:sz="0" w:space="0" w:color="auto"/>
        <w:right w:val="none" w:sz="0" w:space="0" w:color="auto"/>
      </w:divBdr>
    </w:div>
    <w:div w:id="460653850">
      <w:bodyDiv w:val="1"/>
      <w:marLeft w:val="0"/>
      <w:marRight w:val="0"/>
      <w:marTop w:val="0"/>
      <w:marBottom w:val="0"/>
      <w:divBdr>
        <w:top w:val="none" w:sz="0" w:space="0" w:color="auto"/>
        <w:left w:val="none" w:sz="0" w:space="0" w:color="auto"/>
        <w:bottom w:val="none" w:sz="0" w:space="0" w:color="auto"/>
        <w:right w:val="none" w:sz="0" w:space="0" w:color="auto"/>
      </w:divBdr>
    </w:div>
    <w:div w:id="536625396">
      <w:bodyDiv w:val="1"/>
      <w:marLeft w:val="0"/>
      <w:marRight w:val="0"/>
      <w:marTop w:val="0"/>
      <w:marBottom w:val="0"/>
      <w:divBdr>
        <w:top w:val="none" w:sz="0" w:space="0" w:color="auto"/>
        <w:left w:val="none" w:sz="0" w:space="0" w:color="auto"/>
        <w:bottom w:val="none" w:sz="0" w:space="0" w:color="auto"/>
        <w:right w:val="none" w:sz="0" w:space="0" w:color="auto"/>
      </w:divBdr>
    </w:div>
    <w:div w:id="785347039">
      <w:bodyDiv w:val="1"/>
      <w:marLeft w:val="0"/>
      <w:marRight w:val="0"/>
      <w:marTop w:val="0"/>
      <w:marBottom w:val="0"/>
      <w:divBdr>
        <w:top w:val="none" w:sz="0" w:space="0" w:color="auto"/>
        <w:left w:val="none" w:sz="0" w:space="0" w:color="auto"/>
        <w:bottom w:val="none" w:sz="0" w:space="0" w:color="auto"/>
        <w:right w:val="none" w:sz="0" w:space="0" w:color="auto"/>
      </w:divBdr>
    </w:div>
    <w:div w:id="879240801">
      <w:bodyDiv w:val="1"/>
      <w:marLeft w:val="0"/>
      <w:marRight w:val="0"/>
      <w:marTop w:val="0"/>
      <w:marBottom w:val="0"/>
      <w:divBdr>
        <w:top w:val="none" w:sz="0" w:space="0" w:color="auto"/>
        <w:left w:val="none" w:sz="0" w:space="0" w:color="auto"/>
        <w:bottom w:val="none" w:sz="0" w:space="0" w:color="auto"/>
        <w:right w:val="none" w:sz="0" w:space="0" w:color="auto"/>
      </w:divBdr>
    </w:div>
    <w:div w:id="1432505054">
      <w:bodyDiv w:val="1"/>
      <w:marLeft w:val="0"/>
      <w:marRight w:val="0"/>
      <w:marTop w:val="0"/>
      <w:marBottom w:val="0"/>
      <w:divBdr>
        <w:top w:val="none" w:sz="0" w:space="0" w:color="auto"/>
        <w:left w:val="none" w:sz="0" w:space="0" w:color="auto"/>
        <w:bottom w:val="none" w:sz="0" w:space="0" w:color="auto"/>
        <w:right w:val="none" w:sz="0" w:space="0" w:color="auto"/>
      </w:divBdr>
    </w:div>
    <w:div w:id="1689331465">
      <w:bodyDiv w:val="1"/>
      <w:marLeft w:val="0"/>
      <w:marRight w:val="0"/>
      <w:marTop w:val="0"/>
      <w:marBottom w:val="0"/>
      <w:divBdr>
        <w:top w:val="none" w:sz="0" w:space="0" w:color="auto"/>
        <w:left w:val="none" w:sz="0" w:space="0" w:color="auto"/>
        <w:bottom w:val="none" w:sz="0" w:space="0" w:color="auto"/>
        <w:right w:val="none" w:sz="0" w:space="0" w:color="auto"/>
      </w:divBdr>
    </w:div>
    <w:div w:id="1862429976">
      <w:bodyDiv w:val="1"/>
      <w:marLeft w:val="0"/>
      <w:marRight w:val="0"/>
      <w:marTop w:val="0"/>
      <w:marBottom w:val="0"/>
      <w:divBdr>
        <w:top w:val="none" w:sz="0" w:space="0" w:color="auto"/>
        <w:left w:val="none" w:sz="0" w:space="0" w:color="auto"/>
        <w:bottom w:val="none" w:sz="0" w:space="0" w:color="auto"/>
        <w:right w:val="none" w:sz="0" w:space="0" w:color="auto"/>
      </w:divBdr>
    </w:div>
    <w:div w:id="1926105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ypf.org/" TargetMode="External"/><Relationship Id="rId13" Type="http://schemas.openxmlformats.org/officeDocument/2006/relationships/image" Target="media/image4.gif"/><Relationship Id="rId18" Type="http://schemas.openxmlformats.org/officeDocument/2006/relationships/hyperlink" Target="https://expandedschools.webex.com/expandedschools/onstage/g.php?t=a&amp;d=664503066" TargetMode="External"/><Relationship Id="rId26" Type="http://schemas.openxmlformats.org/officeDocument/2006/relationships/hyperlink" Target="mailto:aypf@aypf.org" TargetMode="External"/><Relationship Id="rId39" Type="http://schemas.openxmlformats.org/officeDocument/2006/relationships/hyperlink" Target="http://www.nlc.org" TargetMode="External"/><Relationship Id="rId3" Type="http://schemas.openxmlformats.org/officeDocument/2006/relationships/settings" Target="settings.xml"/><Relationship Id="rId21" Type="http://schemas.openxmlformats.org/officeDocument/2006/relationships/hyperlink" Target="http://www.nlc.org/2013Summit" TargetMode="External"/><Relationship Id="rId34" Type="http://schemas.openxmlformats.org/officeDocument/2006/relationships/image" Target="media/image6.jpeg"/><Relationship Id="rId42" Type="http://schemas.openxmlformats.org/officeDocument/2006/relationships/fontTable" Target="fontTable.xml"/><Relationship Id="rId7" Type="http://schemas.openxmlformats.org/officeDocument/2006/relationships/image" Target="cid:image015.jpg@01CE9F39.F545D5F0" TargetMode="External"/><Relationship Id="rId12" Type="http://schemas.openxmlformats.org/officeDocument/2006/relationships/image" Target="cid:image017.jpg@01CE9F39.F545D5F0" TargetMode="External"/><Relationship Id="rId17" Type="http://schemas.openxmlformats.org/officeDocument/2006/relationships/hyperlink" Target="https://expandedschools.webex.com/expandedschools/onstage/g.php?t=a&amp;d=664503066" TargetMode="External"/><Relationship Id="rId25" Type="http://schemas.openxmlformats.org/officeDocument/2006/relationships/hyperlink" Target="https://summerlearning.site-ym.com/store/view_product.asp?id=1972728" TargetMode="External"/><Relationship Id="rId33" Type="http://schemas.openxmlformats.org/officeDocument/2006/relationships/hyperlink" Target="http://forumfyi.org/" TargetMode="External"/><Relationship Id="rId38"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hyperlink" Target="https://expandedschools.webex.com/expandedschools/onstage/g.php?t=a&amp;d=666581277" TargetMode="External"/><Relationship Id="rId20" Type="http://schemas.openxmlformats.org/officeDocument/2006/relationships/hyperlink" Target="http://www.nlc.org/build-skills-and-networks/education-and-training/event-calendar/2013-national-summit-on-your-citys-families" TargetMode="External"/><Relationship Id="rId29" Type="http://schemas.openxmlformats.org/officeDocument/2006/relationships/image" Target="media/image5.jpeg"/><Relationship Id="rId41" Type="http://schemas.openxmlformats.org/officeDocument/2006/relationships/hyperlink" Target="http://www.wallacefoundation.org/knowledge-center/Pages/default.aspx"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3.jpeg"/><Relationship Id="rId24" Type="http://schemas.openxmlformats.org/officeDocument/2006/relationships/hyperlink" Target="http://www.summerlearning.org/?page=conference_register" TargetMode="External"/><Relationship Id="rId32" Type="http://schemas.openxmlformats.org/officeDocument/2006/relationships/hyperlink" Target="http://www.afterschoolsystems.org" TargetMode="External"/><Relationship Id="rId37" Type="http://schemas.openxmlformats.org/officeDocument/2006/relationships/hyperlink" Target="http://www.nlc.org/find-city-solutions/institute-for-youth-education-and-families" TargetMode="External"/><Relationship Id="rId40" Type="http://schemas.openxmlformats.org/officeDocument/2006/relationships/hyperlink" Target="http://www.nlc.org/find-city-solutions/institute-for-youth-education-and-families/afterschool" TargetMode="External"/><Relationship Id="rId5" Type="http://schemas.openxmlformats.org/officeDocument/2006/relationships/hyperlink" Target="http://www.wallacefoundation.org/Pages/default.aspx" TargetMode="External"/><Relationship Id="rId15" Type="http://schemas.openxmlformats.org/officeDocument/2006/relationships/hyperlink" Target="https://expandedschools.webex.com/expandedschools/onstage/g.php?t=a&amp;d=666581277" TargetMode="External"/><Relationship Id="rId23" Type="http://schemas.openxmlformats.org/officeDocument/2006/relationships/hyperlink" Target="http://www.summerlearning.org/?page=PowerSessions" TargetMode="External"/><Relationship Id="rId28" Type="http://schemas.openxmlformats.org/officeDocument/2006/relationships/hyperlink" Target="http://www.afterschoolsystems.org/" TargetMode="External"/><Relationship Id="rId36" Type="http://schemas.openxmlformats.org/officeDocument/2006/relationships/hyperlink" Target="http://www.cypq.org/projects/overview" TargetMode="External"/><Relationship Id="rId10" Type="http://schemas.openxmlformats.org/officeDocument/2006/relationships/image" Target="cid:image016.jpg@01CE9F39.F545D5F0" TargetMode="External"/><Relationship Id="rId19" Type="http://schemas.openxmlformats.org/officeDocument/2006/relationships/hyperlink" Target="http://www.afterschoolalliance.org/metLife.cfm" TargetMode="External"/><Relationship Id="rId31" Type="http://schemas.openxmlformats.org/officeDocument/2006/relationships/hyperlink" Target="https://outside.aypf.org/owa/redir.aspx?C=bdc462bfd58249f791f3f44abd837f52&amp;URL=http%3a%2f%2fwww.icontact-archive.com%2fTub_aP0QaQmlTJdFHpaWZQRfNUzhT49T%3fw%3d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cid:image018.gif@01CE9F39.F545D5F0" TargetMode="External"/><Relationship Id="rId22" Type="http://schemas.openxmlformats.org/officeDocument/2006/relationships/hyperlink" Target="http://www.summerlearning.org/?page=conference" TargetMode="External"/><Relationship Id="rId27" Type="http://schemas.openxmlformats.org/officeDocument/2006/relationships/hyperlink" Target="http://www.aypf.org/programareas/afterschoolexpanded-learning/" TargetMode="External"/><Relationship Id="rId30" Type="http://schemas.openxmlformats.org/officeDocument/2006/relationships/hyperlink" Target="https://outside.aypf.org/owa/redir.aspx?C=bdc462bfd58249f791f3f44abd837f52&amp;URL=http%3a%2f%2fwww.afterschoolsystems.org%2fsection%2flistserv" TargetMode="External"/><Relationship Id="rId35" Type="http://schemas.openxmlformats.org/officeDocument/2006/relationships/hyperlink" Target="http://www.readyby21.org/events"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6329</TotalTime>
  <Pages>6</Pages>
  <Words>1789</Words>
  <Characters>10200</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Valent</dc:creator>
  <cp:lastModifiedBy>Jennifer Lerner</cp:lastModifiedBy>
  <cp:revision>10</cp:revision>
  <cp:lastPrinted>2013-09-26T14:04:00Z</cp:lastPrinted>
  <dcterms:created xsi:type="dcterms:W3CDTF">2013-09-25T19:42:00Z</dcterms:created>
  <dcterms:modified xsi:type="dcterms:W3CDTF">2013-10-11T18:04:00Z</dcterms:modified>
</cp:coreProperties>
</file>